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5E8" w:rsidRPr="005C13A2" w:rsidRDefault="00783390" w:rsidP="00FE4106">
      <w:pPr>
        <w:jc w:val="center"/>
        <w:rPr>
          <w:b/>
          <w:szCs w:val="28"/>
        </w:rPr>
      </w:pPr>
      <w:r w:rsidRPr="005C13A2">
        <w:rPr>
          <w:b/>
          <w:szCs w:val="28"/>
        </w:rPr>
        <w:t>ИЗВЕЩЕНИЕ</w:t>
      </w:r>
    </w:p>
    <w:p w:rsidR="00783390" w:rsidRPr="005C13A2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5C13A2">
        <w:rPr>
          <w:b/>
          <w:sz w:val="26"/>
          <w:szCs w:val="26"/>
        </w:rPr>
        <w:t xml:space="preserve">о проведении </w:t>
      </w:r>
      <w:r w:rsidR="00E03ECB" w:rsidRPr="005C13A2">
        <w:rPr>
          <w:b/>
          <w:sz w:val="26"/>
          <w:szCs w:val="26"/>
        </w:rPr>
        <w:t>закупки</w:t>
      </w:r>
    </w:p>
    <w:p w:rsidR="00B12BA7" w:rsidRPr="005C13A2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5C13A2">
        <w:rPr>
          <w:b/>
          <w:sz w:val="26"/>
          <w:szCs w:val="26"/>
        </w:rPr>
        <w:t>на право заключения договора</w:t>
      </w:r>
    </w:p>
    <w:p w:rsidR="00927F46" w:rsidRPr="005C13A2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2"/>
        <w:gridCol w:w="3420"/>
        <w:gridCol w:w="3429"/>
      </w:tblGrid>
      <w:tr w:rsidR="00263C7B" w:rsidRPr="005C13A2" w:rsidTr="00761AEB">
        <w:tc>
          <w:tcPr>
            <w:tcW w:w="3473" w:type="dxa"/>
            <w:shd w:val="clear" w:color="auto" w:fill="auto"/>
            <w:vAlign w:val="center"/>
          </w:tcPr>
          <w:p w:rsidR="00761AEB" w:rsidRPr="004E2901" w:rsidRDefault="00761AEB" w:rsidP="004E2901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5C13A2">
              <w:rPr>
                <w:sz w:val="24"/>
                <w:szCs w:val="24"/>
              </w:rPr>
              <w:t>№</w:t>
            </w:r>
            <w:r w:rsidR="004E1AD0">
              <w:rPr>
                <w:sz w:val="24"/>
                <w:szCs w:val="24"/>
              </w:rPr>
              <w:t xml:space="preserve"> 1</w:t>
            </w:r>
            <w:r w:rsidR="004E2901">
              <w:rPr>
                <w:sz w:val="24"/>
                <w:szCs w:val="24"/>
                <w:lang w:val="en-US"/>
              </w:rPr>
              <w:t>35698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5C13A2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5C13A2" w:rsidRDefault="00761AEB" w:rsidP="004E2901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5C13A2">
              <w:rPr>
                <w:sz w:val="24"/>
                <w:szCs w:val="24"/>
              </w:rPr>
              <w:t>«</w:t>
            </w:r>
            <w:r w:rsidR="004E2901" w:rsidRPr="004E2901">
              <w:rPr>
                <w:sz w:val="24"/>
                <w:szCs w:val="24"/>
              </w:rPr>
              <w:t>23</w:t>
            </w:r>
            <w:r w:rsidRPr="005C13A2">
              <w:rPr>
                <w:sz w:val="24"/>
                <w:szCs w:val="24"/>
              </w:rPr>
              <w:t xml:space="preserve">» </w:t>
            </w:r>
            <w:r w:rsidR="004E2901">
              <w:rPr>
                <w:sz w:val="24"/>
                <w:szCs w:val="24"/>
              </w:rPr>
              <w:t>июля</w:t>
            </w:r>
            <w:r w:rsidRPr="005C13A2">
              <w:rPr>
                <w:sz w:val="24"/>
                <w:szCs w:val="24"/>
              </w:rPr>
              <w:t xml:space="preserve"> 20</w:t>
            </w:r>
            <w:r w:rsidR="004E1AD0">
              <w:rPr>
                <w:sz w:val="24"/>
                <w:szCs w:val="24"/>
              </w:rPr>
              <w:t xml:space="preserve">19 </w:t>
            </w:r>
            <w:r w:rsidRPr="005C13A2">
              <w:rPr>
                <w:sz w:val="24"/>
                <w:szCs w:val="24"/>
              </w:rPr>
              <w:t>г.</w:t>
            </w:r>
          </w:p>
        </w:tc>
      </w:tr>
    </w:tbl>
    <w:p w:rsidR="00761AEB" w:rsidRPr="004E2901" w:rsidRDefault="00761AEB" w:rsidP="00783390">
      <w:pPr>
        <w:spacing w:line="240" w:lineRule="auto"/>
        <w:jc w:val="center"/>
        <w:rPr>
          <w:sz w:val="24"/>
          <w:szCs w:val="24"/>
        </w:rPr>
      </w:pPr>
    </w:p>
    <w:p w:rsidR="00684650" w:rsidRPr="005C13A2" w:rsidRDefault="009541CC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5C13A2">
        <w:t>Способ закупки:</w:t>
      </w:r>
      <w:r w:rsidR="008E0645" w:rsidRPr="005C13A2">
        <w:t xml:space="preserve"> </w:t>
      </w:r>
      <w:r w:rsidR="004E1AD0" w:rsidRPr="004E1AD0">
        <w:t>открытые конкурентные переговоры в электронной форме.</w:t>
      </w:r>
    </w:p>
    <w:p w:rsidR="00625762" w:rsidRPr="004E1AD0" w:rsidRDefault="002A48AF" w:rsidP="006D37B6">
      <w:pPr>
        <w:pStyle w:val="aff4"/>
        <w:spacing w:before="60" w:after="60"/>
        <w:ind w:left="0" w:firstLine="851"/>
        <w:contextualSpacing w:val="0"/>
        <w:jc w:val="both"/>
        <w:outlineLvl w:val="0"/>
      </w:pPr>
      <w:r w:rsidRPr="004E1AD0">
        <w:t>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881310" w:rsidRPr="004E1AD0" w:rsidRDefault="00881310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5C13A2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C54650" w:rsidRPr="005C13A2">
        <w:t xml:space="preserve">Положение о порядке проведения регламентированных закупок товаров, работ, услуг для нужд </w:t>
      </w:r>
      <w:r w:rsidR="004E1AD0" w:rsidRPr="004E1AD0">
        <w:t>ПАО «</w:t>
      </w:r>
      <w:proofErr w:type="spellStart"/>
      <w:r w:rsidR="004E1AD0" w:rsidRPr="004E1AD0">
        <w:t>Томскэнергосбыт</w:t>
      </w:r>
      <w:proofErr w:type="spellEnd"/>
      <w:r w:rsidR="004E1AD0" w:rsidRPr="004E1AD0">
        <w:t>»</w:t>
      </w:r>
      <w:r w:rsidR="00C54650" w:rsidRPr="005C13A2">
        <w:t>, утвержденное решением Совета директоров (далее - Положение о закупках).</w:t>
      </w:r>
      <w:bookmarkEnd w:id="0"/>
      <w:bookmarkEnd w:id="1"/>
      <w:bookmarkEnd w:id="2"/>
    </w:p>
    <w:p w:rsidR="00881310" w:rsidRPr="005C13A2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rPr>
          <w:rStyle w:val="FontStyle128"/>
          <w:sz w:val="24"/>
          <w:szCs w:val="24"/>
        </w:rPr>
        <w:t xml:space="preserve">Информационное обеспечение проведения закупки: Интернет-сайт: </w:t>
      </w:r>
      <w:hyperlink r:id="rId8" w:history="1">
        <w:r w:rsidR="004E1AD0" w:rsidRPr="0050333D">
          <w:rPr>
            <w:rStyle w:val="a8"/>
          </w:rPr>
          <w:t>www.zakupki.gov.ru</w:t>
        </w:r>
      </w:hyperlink>
      <w:r w:rsidR="004E1AD0" w:rsidRPr="0050333D">
        <w:rPr>
          <w:rStyle w:val="a8"/>
          <w:u w:val="none"/>
        </w:rPr>
        <w:t xml:space="preserve">, </w:t>
      </w:r>
      <w:r w:rsidR="004E1AD0" w:rsidRPr="0050333D">
        <w:rPr>
          <w:rStyle w:val="a8"/>
        </w:rPr>
        <w:t>www.interrao-zakupki.ru,</w:t>
      </w:r>
      <w:r w:rsidR="004E1AD0" w:rsidRPr="0050333D">
        <w:rPr>
          <w:color w:val="0070C0"/>
        </w:rPr>
        <w:t xml:space="preserve"> </w:t>
      </w:r>
      <w:hyperlink r:id="rId9" w:history="1">
        <w:r w:rsidR="004E1AD0" w:rsidRPr="006806BF">
          <w:rPr>
            <w:color w:val="0000FF"/>
            <w:u w:val="single"/>
          </w:rPr>
          <w:t>www.ensb.tomsk.ru</w:t>
        </w:r>
      </w:hyperlink>
      <w:r w:rsidR="004E1AD0">
        <w:rPr>
          <w:rStyle w:val="a8"/>
        </w:rPr>
        <w:t>,</w:t>
      </w:r>
      <w:r w:rsidR="004E1AD0" w:rsidRPr="0016566D">
        <w:rPr>
          <w:rStyle w:val="a8"/>
          <w:u w:val="none"/>
        </w:rPr>
        <w:t xml:space="preserve"> </w:t>
      </w:r>
      <w:r w:rsidR="004E1AD0">
        <w:rPr>
          <w:rStyle w:val="FontStyle128"/>
          <w:sz w:val="24"/>
          <w:szCs w:val="24"/>
        </w:rPr>
        <w:t>э</w:t>
      </w:r>
      <w:r w:rsidR="004E1AD0" w:rsidRPr="0050333D">
        <w:rPr>
          <w:rStyle w:val="FontStyle128"/>
          <w:sz w:val="24"/>
          <w:szCs w:val="24"/>
        </w:rPr>
        <w:t xml:space="preserve">лектронная торговая площадка: </w:t>
      </w:r>
      <w:hyperlink r:id="rId10" w:history="1">
        <w:r w:rsidR="004E2901" w:rsidRPr="00C8638E">
          <w:rPr>
            <w:rStyle w:val="a8"/>
            <w:lang w:val="en-US"/>
          </w:rPr>
          <w:t>www</w:t>
        </w:r>
        <w:r w:rsidR="004E2901" w:rsidRPr="00C8638E">
          <w:rPr>
            <w:rStyle w:val="a8"/>
          </w:rPr>
          <w:t>.</w:t>
        </w:r>
        <w:proofErr w:type="spellStart"/>
        <w:r w:rsidR="004E2901" w:rsidRPr="00C8638E">
          <w:rPr>
            <w:rStyle w:val="a8"/>
            <w:lang w:val="en-US"/>
          </w:rPr>
          <w:t>tektorg</w:t>
        </w:r>
        <w:proofErr w:type="spellEnd"/>
        <w:r w:rsidR="004E2901" w:rsidRPr="00C8638E">
          <w:rPr>
            <w:rStyle w:val="a8"/>
          </w:rPr>
          <w:t>.</w:t>
        </w:r>
        <w:proofErr w:type="spellStart"/>
        <w:r w:rsidR="004E2901" w:rsidRPr="00C8638E">
          <w:rPr>
            <w:rStyle w:val="a8"/>
            <w:lang w:val="en-US"/>
          </w:rPr>
          <w:t>ru</w:t>
        </w:r>
        <w:proofErr w:type="spellEnd"/>
      </w:hyperlink>
    </w:p>
    <w:p w:rsidR="00881310" w:rsidRPr="005C13A2" w:rsidRDefault="00554D0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rPr>
          <w:rStyle w:val="FontStyle128"/>
          <w:sz w:val="24"/>
          <w:szCs w:val="24"/>
        </w:rPr>
        <w:t>Отмена</w:t>
      </w:r>
      <w:r w:rsidR="00625762" w:rsidRPr="005C13A2">
        <w:rPr>
          <w:rStyle w:val="FontStyle128"/>
          <w:sz w:val="24"/>
          <w:szCs w:val="24"/>
        </w:rPr>
        <w:t xml:space="preserve"> закупки: </w:t>
      </w:r>
      <w:r w:rsidR="004E1AD0">
        <w:rPr>
          <w:color w:val="000000"/>
        </w:rPr>
        <w:t>в</w:t>
      </w:r>
      <w:r w:rsidR="000B1A2A" w:rsidRPr="000B1A2A">
        <w:rPr>
          <w:color w:val="000000"/>
        </w:rPr>
        <w:t xml:space="preserve">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 </w:t>
      </w:r>
      <w:r w:rsidR="002A48AF" w:rsidRPr="005C13A2">
        <w:rPr>
          <w:rStyle w:val="FontStyle128"/>
          <w:sz w:val="24"/>
          <w:szCs w:val="24"/>
        </w:rPr>
        <w:t xml:space="preserve">По истечении срока отмены конкурентной закупки и до заключения договора </w:t>
      </w:r>
      <w:r w:rsidR="00FE75FB" w:rsidRPr="00FE75FB">
        <w:rPr>
          <w:color w:val="000000"/>
        </w:rPr>
        <w:t xml:space="preserve">организатор закупки/заказчик </w:t>
      </w:r>
      <w:r w:rsidR="002A48AF" w:rsidRPr="005C13A2">
        <w:rPr>
          <w:rStyle w:val="FontStyle128"/>
          <w:sz w:val="24"/>
          <w:szCs w:val="24"/>
        </w:rPr>
        <w:t>вправе</w:t>
      </w:r>
      <w:r w:rsidR="002A48AF" w:rsidRPr="005C13A2">
        <w:rPr>
          <w:szCs w:val="28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9541CC" w:rsidRPr="005C13A2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Наименование </w:t>
      </w:r>
      <w:r w:rsidR="009541CC" w:rsidRPr="005C13A2">
        <w:t>Заказчик</w:t>
      </w:r>
      <w:r w:rsidRPr="005C13A2">
        <w:t>а</w:t>
      </w:r>
      <w:r w:rsidR="009541CC" w:rsidRPr="005C13A2">
        <w:t>:</w:t>
      </w:r>
    </w:p>
    <w:p w:rsidR="004E1AD0" w:rsidRDefault="004E1AD0" w:rsidP="004E1AD0">
      <w:pPr>
        <w:pStyle w:val="aff4"/>
        <w:widowControl/>
        <w:tabs>
          <w:tab w:val="left" w:pos="567"/>
        </w:tabs>
        <w:autoSpaceDE/>
        <w:autoSpaceDN/>
        <w:adjustRightInd/>
        <w:ind w:left="567" w:firstLine="567"/>
        <w:jc w:val="both"/>
        <w:outlineLvl w:val="0"/>
      </w:pPr>
      <w:r>
        <w:t>Публичное акционерное общество «</w:t>
      </w:r>
      <w:proofErr w:type="spellStart"/>
      <w:r>
        <w:t>Томскэнергосбыт</w:t>
      </w:r>
      <w:proofErr w:type="spellEnd"/>
      <w:r>
        <w:t>»</w:t>
      </w:r>
    </w:p>
    <w:p w:rsidR="004E1AD0" w:rsidRDefault="004E1AD0" w:rsidP="004E1AD0">
      <w:pPr>
        <w:pStyle w:val="aff4"/>
        <w:widowControl/>
        <w:tabs>
          <w:tab w:val="left" w:pos="567"/>
        </w:tabs>
        <w:autoSpaceDE/>
        <w:autoSpaceDN/>
        <w:adjustRightInd/>
        <w:ind w:left="567" w:firstLine="567"/>
        <w:jc w:val="both"/>
        <w:outlineLvl w:val="0"/>
      </w:pPr>
      <w:r>
        <w:t>Место нахождения: 634034, г. Томск, ул. Котовского, 19</w:t>
      </w:r>
    </w:p>
    <w:p w:rsidR="004E1AD0" w:rsidRDefault="004E1AD0" w:rsidP="004E1AD0">
      <w:pPr>
        <w:pStyle w:val="aff4"/>
        <w:widowControl/>
        <w:tabs>
          <w:tab w:val="left" w:pos="567"/>
        </w:tabs>
        <w:autoSpaceDE/>
        <w:autoSpaceDN/>
        <w:adjustRightInd/>
        <w:ind w:left="567" w:firstLine="567"/>
        <w:jc w:val="both"/>
        <w:outlineLvl w:val="0"/>
      </w:pPr>
      <w:r>
        <w:t>Почтовый адрес: 634034, г. Томск, ул. Котовского, 19</w:t>
      </w:r>
    </w:p>
    <w:p w:rsidR="004E1AD0" w:rsidRDefault="004E1AD0" w:rsidP="004E1AD0">
      <w:pPr>
        <w:pStyle w:val="aff4"/>
        <w:widowControl/>
        <w:tabs>
          <w:tab w:val="left" w:pos="567"/>
        </w:tabs>
        <w:autoSpaceDE/>
        <w:autoSpaceDN/>
        <w:adjustRightInd/>
        <w:ind w:left="567" w:firstLine="567"/>
        <w:jc w:val="both"/>
        <w:outlineLvl w:val="0"/>
      </w:pPr>
      <w:r>
        <w:t>Контактный телефон: +7 (3822) 48-47-00, 48-47-76</w:t>
      </w:r>
    </w:p>
    <w:p w:rsidR="00E145BC" w:rsidRPr="004E1AD0" w:rsidRDefault="004E1AD0" w:rsidP="004E1AD0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4E1AD0">
        <w:rPr>
          <w:sz w:val="24"/>
        </w:rPr>
        <w:t xml:space="preserve">Адрес электронной почты: </w:t>
      </w:r>
      <w:r w:rsidRPr="004E1AD0">
        <w:rPr>
          <w:snapToGrid w:val="0"/>
          <w:color w:val="0000FF"/>
          <w:sz w:val="24"/>
          <w:u w:val="single"/>
        </w:rPr>
        <w:t>secretar@ensb.tomsk.ru</w:t>
      </w:r>
    </w:p>
    <w:p w:rsidR="00761AEB" w:rsidRPr="005C13A2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Наименование </w:t>
      </w:r>
      <w:r w:rsidR="00E145BC" w:rsidRPr="005C13A2">
        <w:t>Организатор</w:t>
      </w:r>
      <w:r w:rsidRPr="005C13A2">
        <w:t>а</w:t>
      </w:r>
      <w:r w:rsidR="00E145BC" w:rsidRPr="005C13A2">
        <w:t xml:space="preserve"> </w:t>
      </w:r>
      <w:r w:rsidR="00E03ECB" w:rsidRPr="005C13A2">
        <w:t>закупки</w:t>
      </w:r>
      <w:r w:rsidR="00E145BC" w:rsidRPr="005C13A2">
        <w:t>:</w:t>
      </w:r>
    </w:p>
    <w:p w:rsidR="004E2901" w:rsidRPr="00264D39" w:rsidRDefault="004E2901" w:rsidP="004E2901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264D39">
        <w:rPr>
          <w:sz w:val="24"/>
        </w:rPr>
        <w:t>Общество с ограниченной ответственностью «Интер РАО – Центр управления закупками»</w:t>
      </w:r>
    </w:p>
    <w:p w:rsidR="004E2901" w:rsidRPr="00264D39" w:rsidRDefault="004E2901" w:rsidP="004E2901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264D39">
        <w:rPr>
          <w:sz w:val="24"/>
        </w:rPr>
        <w:t xml:space="preserve">Место нахождения:119435, Россия, г. Москва, ул. Большая </w:t>
      </w:r>
      <w:proofErr w:type="spellStart"/>
      <w:r w:rsidRPr="00264D39">
        <w:rPr>
          <w:sz w:val="24"/>
        </w:rPr>
        <w:t>Пироговская</w:t>
      </w:r>
      <w:proofErr w:type="spellEnd"/>
      <w:r w:rsidRPr="00264D39">
        <w:rPr>
          <w:sz w:val="24"/>
        </w:rPr>
        <w:t>, д. 27, стр. 3.</w:t>
      </w:r>
    </w:p>
    <w:p w:rsidR="004E2901" w:rsidRPr="00264D39" w:rsidRDefault="004E2901" w:rsidP="004E2901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264D39">
        <w:rPr>
          <w:sz w:val="24"/>
        </w:rPr>
        <w:t xml:space="preserve">Почтовый адрес: 119435, Россия, г. Москва, ул. Большая </w:t>
      </w:r>
      <w:proofErr w:type="spellStart"/>
      <w:r w:rsidRPr="00264D39">
        <w:rPr>
          <w:sz w:val="24"/>
        </w:rPr>
        <w:t>Пироговская</w:t>
      </w:r>
      <w:proofErr w:type="spellEnd"/>
      <w:r w:rsidRPr="00264D39">
        <w:rPr>
          <w:sz w:val="24"/>
        </w:rPr>
        <w:t>, д. 27, стр. 3.</w:t>
      </w:r>
    </w:p>
    <w:p w:rsidR="004E2901" w:rsidRPr="00264D39" w:rsidRDefault="004E2901" w:rsidP="004E2901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264D39">
        <w:rPr>
          <w:sz w:val="24"/>
        </w:rPr>
        <w:t xml:space="preserve">Контактное лицо: </w:t>
      </w:r>
      <w:r w:rsidRPr="00CA7D6F">
        <w:rPr>
          <w:sz w:val="24"/>
        </w:rPr>
        <w:t>Цыганов Виталий Владимирович</w:t>
      </w:r>
    </w:p>
    <w:p w:rsidR="004E2901" w:rsidRPr="00264D39" w:rsidRDefault="004E2901" w:rsidP="004E2901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264D39">
        <w:rPr>
          <w:sz w:val="24"/>
        </w:rPr>
        <w:t xml:space="preserve">Контактный телефон: </w:t>
      </w:r>
      <w:r w:rsidRPr="00CA7D6F">
        <w:rPr>
          <w:sz w:val="24"/>
        </w:rPr>
        <w:t>+7 (495) 664 8840 доб. 2974</w:t>
      </w:r>
    </w:p>
    <w:p w:rsidR="004E2901" w:rsidRPr="00264D39" w:rsidRDefault="004E2901" w:rsidP="004E2901">
      <w:pPr>
        <w:pStyle w:val="aff4"/>
        <w:widowControl/>
        <w:tabs>
          <w:tab w:val="left" w:pos="567"/>
        </w:tabs>
        <w:autoSpaceDE/>
        <w:autoSpaceDN/>
        <w:adjustRightInd/>
        <w:ind w:left="1134"/>
        <w:jc w:val="both"/>
        <w:outlineLvl w:val="0"/>
      </w:pPr>
      <w:r w:rsidRPr="00264D39">
        <w:t xml:space="preserve">Адрес электронной почты: </w:t>
      </w:r>
      <w:proofErr w:type="spellStart"/>
      <w:r w:rsidRPr="00CA7D6F">
        <w:rPr>
          <w:rStyle w:val="a8"/>
          <w:lang w:val="en-US"/>
        </w:rPr>
        <w:t>tsyganov</w:t>
      </w:r>
      <w:proofErr w:type="spellEnd"/>
      <w:r w:rsidRPr="00CA7D6F">
        <w:rPr>
          <w:rStyle w:val="a8"/>
        </w:rPr>
        <w:t>_</w:t>
      </w:r>
      <w:proofErr w:type="spellStart"/>
      <w:r w:rsidRPr="00CA7D6F">
        <w:rPr>
          <w:rStyle w:val="a8"/>
          <w:lang w:val="en-US"/>
        </w:rPr>
        <w:t>vv</w:t>
      </w:r>
      <w:proofErr w:type="spellEnd"/>
      <w:r w:rsidRPr="00CA7D6F">
        <w:rPr>
          <w:rStyle w:val="a8"/>
        </w:rPr>
        <w:t>@</w:t>
      </w:r>
      <w:proofErr w:type="spellStart"/>
      <w:r w:rsidRPr="00CA7D6F">
        <w:rPr>
          <w:rStyle w:val="a8"/>
          <w:lang w:val="en-US"/>
        </w:rPr>
        <w:t>interrao</w:t>
      </w:r>
      <w:proofErr w:type="spellEnd"/>
      <w:r w:rsidRPr="00CA7D6F">
        <w:rPr>
          <w:rStyle w:val="a8"/>
        </w:rPr>
        <w:t>.</w:t>
      </w:r>
      <w:proofErr w:type="spellStart"/>
      <w:r w:rsidRPr="00CA7D6F">
        <w:rPr>
          <w:rStyle w:val="a8"/>
          <w:lang w:val="en-US"/>
        </w:rPr>
        <w:t>ru</w:t>
      </w:r>
      <w:proofErr w:type="spellEnd"/>
    </w:p>
    <w:p w:rsidR="00096391" w:rsidRPr="005C13A2" w:rsidRDefault="00DC416A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Предмет </w:t>
      </w:r>
      <w:r w:rsidR="00E03ECB" w:rsidRPr="005C13A2">
        <w:t>закупки</w:t>
      </w:r>
      <w:r w:rsidRPr="005C13A2">
        <w:t xml:space="preserve">: </w:t>
      </w:r>
      <w:r w:rsidR="00B54AEB" w:rsidRPr="005C13A2">
        <w:t>п</w:t>
      </w:r>
      <w:r w:rsidR="003842A8" w:rsidRPr="005C13A2">
        <w:t>раво заключения договора</w:t>
      </w:r>
      <w:r w:rsidR="004E1AD0" w:rsidRPr="004E1AD0">
        <w:t xml:space="preserve"> </w:t>
      </w:r>
      <w:r w:rsidR="004E1AD0">
        <w:t>на поставку станции телефонной для нужд ПАО «</w:t>
      </w:r>
      <w:proofErr w:type="spellStart"/>
      <w:r w:rsidR="004E1AD0">
        <w:t>Томскэнергосбыт</w:t>
      </w:r>
      <w:proofErr w:type="spellEnd"/>
      <w:r w:rsidR="004E1AD0">
        <w:t>» в 2019 году</w:t>
      </w:r>
      <w:r w:rsidR="00096391" w:rsidRPr="005C13A2">
        <w:t xml:space="preserve">. </w:t>
      </w:r>
    </w:p>
    <w:p w:rsidR="00E145BC" w:rsidRPr="005C13A2" w:rsidRDefault="00096391" w:rsidP="004E1AD0">
      <w:pPr>
        <w:pStyle w:val="aff4"/>
        <w:numPr>
          <w:ilvl w:val="1"/>
          <w:numId w:val="12"/>
        </w:numPr>
        <w:spacing w:before="60" w:after="60"/>
        <w:ind w:left="851" w:hanging="851"/>
        <w:jc w:val="both"/>
        <w:outlineLvl w:val="0"/>
      </w:pPr>
      <w:r w:rsidRPr="005C13A2">
        <w:t xml:space="preserve">Краткое описание предмета закупки: </w:t>
      </w:r>
      <w:r w:rsidR="004E1AD0">
        <w:t>в</w:t>
      </w:r>
      <w:r w:rsidRPr="005C13A2">
        <w:t xml:space="preserve"> соответствии с разделом 6 «Техническая часть» Закупочной документации.</w:t>
      </w:r>
    </w:p>
    <w:p w:rsidR="00F13B19" w:rsidRPr="005C13A2" w:rsidRDefault="00B54AEB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lastRenderedPageBreak/>
        <w:t>Предмет договора:</w:t>
      </w:r>
      <w:r w:rsidR="004E1AD0">
        <w:t xml:space="preserve"> поставка станции телефонной для нужд ПАО «</w:t>
      </w:r>
      <w:proofErr w:type="spellStart"/>
      <w:r w:rsidR="004E1AD0">
        <w:t>Томскэнергосбыт</w:t>
      </w:r>
      <w:proofErr w:type="spellEnd"/>
      <w:r w:rsidR="004E1AD0">
        <w:t>» в 2019 году</w:t>
      </w:r>
      <w:r w:rsidR="004E1AD0" w:rsidRPr="005C13A2">
        <w:t>.</w:t>
      </w:r>
    </w:p>
    <w:p w:rsidR="00CA310F" w:rsidRPr="004E1AD0" w:rsidRDefault="00A033BC" w:rsidP="004E1AD0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Объем </w:t>
      </w:r>
      <w:r w:rsidR="00CB2616" w:rsidRPr="005C13A2">
        <w:t>поставляемых товаров</w:t>
      </w:r>
      <w:r w:rsidR="003842A8" w:rsidRPr="005C13A2">
        <w:t>:</w:t>
      </w:r>
      <w:r w:rsidR="004E1AD0">
        <w:t xml:space="preserve"> </w:t>
      </w:r>
      <w:r w:rsidR="002A48AF" w:rsidRPr="004E1AD0">
        <w:t>в соответствии с разделом 6 «Техническая часть» Закупочной документации</w:t>
      </w:r>
      <w:r w:rsidR="004E1AD0">
        <w:t>.</w:t>
      </w:r>
    </w:p>
    <w:p w:rsidR="00E819F8" w:rsidRPr="005C13A2" w:rsidRDefault="00E819F8" w:rsidP="00793214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5C13A2">
        <w:rPr>
          <w:sz w:val="24"/>
        </w:rPr>
        <w:t>Подробное описание</w:t>
      </w:r>
      <w:r w:rsidR="00684650" w:rsidRPr="005C13A2">
        <w:rPr>
          <w:sz w:val="24"/>
        </w:rPr>
        <w:t xml:space="preserve"> и требования к</w:t>
      </w:r>
      <w:r w:rsidRPr="005C13A2">
        <w:rPr>
          <w:sz w:val="24"/>
        </w:rPr>
        <w:t xml:space="preserve"> закупаемо</w:t>
      </w:r>
      <w:r w:rsidR="00684650" w:rsidRPr="005C13A2">
        <w:rPr>
          <w:sz w:val="24"/>
        </w:rPr>
        <w:t>му</w:t>
      </w:r>
      <w:r w:rsidRPr="005C13A2">
        <w:rPr>
          <w:sz w:val="24"/>
        </w:rPr>
        <w:t xml:space="preserve"> </w:t>
      </w:r>
      <w:r w:rsidR="00684650" w:rsidRPr="005C13A2">
        <w:rPr>
          <w:sz w:val="24"/>
        </w:rPr>
        <w:t>товару</w:t>
      </w:r>
      <w:r w:rsidR="00367E82" w:rsidRPr="005C13A2">
        <w:rPr>
          <w:sz w:val="24"/>
        </w:rPr>
        <w:t>,</w:t>
      </w:r>
      <w:r w:rsidR="00684650" w:rsidRPr="005C13A2">
        <w:rPr>
          <w:sz w:val="24"/>
        </w:rPr>
        <w:t xml:space="preserve"> а также</w:t>
      </w:r>
      <w:r w:rsidRPr="005C13A2">
        <w:rPr>
          <w:sz w:val="24"/>
        </w:rPr>
        <w:t xml:space="preserve"> услови</w:t>
      </w:r>
      <w:r w:rsidR="00684650" w:rsidRPr="005C13A2">
        <w:rPr>
          <w:sz w:val="24"/>
        </w:rPr>
        <w:t>я</w:t>
      </w:r>
      <w:r w:rsidRPr="005C13A2">
        <w:rPr>
          <w:sz w:val="24"/>
        </w:rPr>
        <w:t xml:space="preserve"> договора содержатся в </w:t>
      </w:r>
      <w:r w:rsidR="00E03ECB" w:rsidRPr="005C13A2">
        <w:rPr>
          <w:sz w:val="24"/>
        </w:rPr>
        <w:t xml:space="preserve">Закупочной </w:t>
      </w:r>
      <w:r w:rsidRPr="005C13A2">
        <w:rPr>
          <w:sz w:val="24"/>
        </w:rPr>
        <w:t>документации</w:t>
      </w:r>
      <w:r w:rsidR="004E0FA7" w:rsidRPr="005C13A2">
        <w:rPr>
          <w:sz w:val="24"/>
        </w:rPr>
        <w:t>, которая является неотъемлемой часть</w:t>
      </w:r>
      <w:r w:rsidR="00C851AE" w:rsidRPr="005C13A2">
        <w:rPr>
          <w:sz w:val="24"/>
        </w:rPr>
        <w:t>ю</w:t>
      </w:r>
      <w:r w:rsidR="004E0FA7" w:rsidRPr="005C13A2">
        <w:rPr>
          <w:sz w:val="24"/>
        </w:rPr>
        <w:t xml:space="preserve"> Извещения о проведении </w:t>
      </w:r>
      <w:r w:rsidR="00E03ECB" w:rsidRPr="005C13A2">
        <w:rPr>
          <w:sz w:val="24"/>
        </w:rPr>
        <w:t>закупки</w:t>
      </w:r>
      <w:r w:rsidRPr="005C13A2">
        <w:rPr>
          <w:sz w:val="24"/>
        </w:rPr>
        <w:t>.</w:t>
      </w:r>
    </w:p>
    <w:p w:rsidR="00625762" w:rsidRPr="004E1AD0" w:rsidRDefault="00881310" w:rsidP="004E1AD0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5C13A2">
        <w:rPr>
          <w:rStyle w:val="FontStyle128"/>
          <w:sz w:val="24"/>
          <w:szCs w:val="24"/>
        </w:rPr>
        <w:t xml:space="preserve">Сроки поставки товара, выполнения работ, оказания услуг: </w:t>
      </w:r>
      <w:r w:rsidR="002A48AF" w:rsidRPr="004E1AD0">
        <w:rPr>
          <w:rStyle w:val="FontStyle128"/>
          <w:sz w:val="24"/>
          <w:szCs w:val="24"/>
        </w:rPr>
        <w:t>в соответствии с разделом 6 «Техническая часть» Закупочной документации</w:t>
      </w:r>
      <w:r w:rsidR="004E1AD0">
        <w:rPr>
          <w:rStyle w:val="FontStyle128"/>
          <w:sz w:val="24"/>
          <w:szCs w:val="24"/>
        </w:rPr>
        <w:t>.</w:t>
      </w:r>
    </w:p>
    <w:p w:rsidR="00F15A75" w:rsidRPr="004E1AD0" w:rsidRDefault="00A033BC" w:rsidP="004E1AD0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Место </w:t>
      </w:r>
      <w:r w:rsidR="00CB2616" w:rsidRPr="005C13A2">
        <w:t>поставки товара</w:t>
      </w:r>
      <w:r w:rsidR="003842A8" w:rsidRPr="005C13A2">
        <w:t>:</w:t>
      </w:r>
      <w:r w:rsidR="004E1AD0">
        <w:t xml:space="preserve"> </w:t>
      </w:r>
      <w:r w:rsidR="00F15A75" w:rsidRPr="004E1AD0">
        <w:t>в соответствии с разделом 6 «Техническая часть» Закупочной документации</w:t>
      </w:r>
      <w:r w:rsidR="004E1AD0">
        <w:t>.</w:t>
      </w:r>
    </w:p>
    <w:p w:rsidR="00881310" w:rsidRPr="005C13A2" w:rsidRDefault="00881310" w:rsidP="004E2901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5C13A2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  <w:r w:rsidR="004E2901" w:rsidRPr="004E2901">
        <w:rPr>
          <w:rStyle w:val="FontStyle128"/>
          <w:b/>
          <w:sz w:val="24"/>
          <w:szCs w:val="24"/>
        </w:rPr>
        <w:t>9 891 471,04</w:t>
      </w:r>
      <w:r w:rsidR="004E2901" w:rsidRPr="004E2901">
        <w:rPr>
          <w:rStyle w:val="FontStyle128"/>
          <w:sz w:val="24"/>
          <w:szCs w:val="24"/>
        </w:rPr>
        <w:t xml:space="preserve"> </w:t>
      </w:r>
      <w:r w:rsidR="004E1AD0">
        <w:rPr>
          <w:rStyle w:val="FontStyle128"/>
          <w:sz w:val="24"/>
          <w:szCs w:val="24"/>
        </w:rPr>
        <w:t>руб. без НДС.</w:t>
      </w:r>
    </w:p>
    <w:p w:rsidR="00881310" w:rsidRPr="005C13A2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>Обеспечение исполнения обязательств, связанных с подачей заявки на участие в закупке:</w:t>
      </w:r>
    </w:p>
    <w:p w:rsidR="00881310" w:rsidRPr="004E1AD0" w:rsidRDefault="00881310" w:rsidP="00FE4106">
      <w:pPr>
        <w:pStyle w:val="aff4"/>
        <w:spacing w:before="60" w:after="60"/>
        <w:ind w:left="851"/>
        <w:contextualSpacing w:val="0"/>
        <w:jc w:val="both"/>
      </w:pPr>
      <w:r w:rsidRPr="004E1AD0">
        <w:t>не требуется</w:t>
      </w:r>
      <w:r w:rsidR="004E1AD0" w:rsidRPr="004E1AD0">
        <w:t>.</w:t>
      </w:r>
    </w:p>
    <w:p w:rsidR="00881310" w:rsidRPr="005C13A2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5C13A2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="00A57645" w:rsidRPr="005C13A2">
        <w:rPr>
          <w:rStyle w:val="FontStyle128"/>
          <w:sz w:val="24"/>
          <w:szCs w:val="24"/>
        </w:rPr>
        <w:t>в соответствии с требованиями, установленными в закупочной документации</w:t>
      </w:r>
      <w:r w:rsidR="00D05B42" w:rsidRPr="005C13A2">
        <w:rPr>
          <w:rStyle w:val="FontStyle128"/>
          <w:sz w:val="24"/>
          <w:szCs w:val="24"/>
        </w:rPr>
        <w:t>.</w:t>
      </w:r>
    </w:p>
    <w:p w:rsidR="00881310" w:rsidRPr="004E1AD0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5C13A2">
        <w:rPr>
          <w:rStyle w:val="FontStyle128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услугам: </w:t>
      </w:r>
      <w:r w:rsidRPr="004E1AD0">
        <w:rPr>
          <w:rStyle w:val="FontStyle128"/>
          <w:sz w:val="24"/>
          <w:szCs w:val="24"/>
        </w:rPr>
        <w:t>в соответствии с разделом </w:t>
      </w:r>
      <w:r w:rsidR="008D0F51" w:rsidRPr="004E1AD0">
        <w:rPr>
          <w:rStyle w:val="FontStyle128"/>
          <w:sz w:val="24"/>
          <w:szCs w:val="24"/>
        </w:rPr>
        <w:t>6</w:t>
      </w:r>
      <w:r w:rsidRPr="004E1AD0">
        <w:rPr>
          <w:rStyle w:val="FontStyle128"/>
          <w:sz w:val="24"/>
          <w:szCs w:val="24"/>
        </w:rPr>
        <w:t xml:space="preserve"> «Техническая часть»</w:t>
      </w:r>
      <w:r w:rsidR="00C54650" w:rsidRPr="004E1AD0">
        <w:rPr>
          <w:rStyle w:val="FontStyle128"/>
          <w:sz w:val="24"/>
          <w:szCs w:val="24"/>
        </w:rPr>
        <w:t xml:space="preserve"> Закупочной документации</w:t>
      </w:r>
      <w:r w:rsidR="004E1AD0" w:rsidRPr="004E1AD0">
        <w:rPr>
          <w:rStyle w:val="FontStyle128"/>
          <w:sz w:val="24"/>
          <w:szCs w:val="24"/>
        </w:rPr>
        <w:t>.</w:t>
      </w:r>
    </w:p>
    <w:p w:rsidR="00881310" w:rsidRPr="004E1AD0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5C13A2">
        <w:rPr>
          <w:rStyle w:val="FontStyle128"/>
          <w:sz w:val="24"/>
          <w:szCs w:val="24"/>
        </w:rPr>
        <w:t xml:space="preserve">Возможность проведения переторжки: </w:t>
      </w:r>
      <w:r w:rsidR="00D54E69" w:rsidRPr="004E1AD0">
        <w:rPr>
          <w:rStyle w:val="FontStyle128"/>
          <w:sz w:val="24"/>
          <w:szCs w:val="24"/>
        </w:rPr>
        <w:t>возможно</w:t>
      </w:r>
      <w:r w:rsidR="004E1AD0" w:rsidRPr="004E1AD0">
        <w:rPr>
          <w:rStyle w:val="FontStyle128"/>
          <w:sz w:val="24"/>
          <w:szCs w:val="24"/>
        </w:rPr>
        <w:t>.</w:t>
      </w:r>
    </w:p>
    <w:p w:rsidR="00F15A75" w:rsidRPr="005C13A2" w:rsidRDefault="00F15A75" w:rsidP="00F15A75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5C13A2">
        <w:rPr>
          <w:rStyle w:val="FontStyle128"/>
          <w:color w:val="auto"/>
          <w:sz w:val="24"/>
          <w:szCs w:val="24"/>
        </w:rPr>
        <w:t>Сведения о предоставлении преференций: предоставляются</w:t>
      </w:r>
      <w:r w:rsidR="004E1AD0">
        <w:rPr>
          <w:rStyle w:val="FontStyle128"/>
          <w:color w:val="auto"/>
          <w:sz w:val="24"/>
          <w:szCs w:val="24"/>
        </w:rPr>
        <w:t>.</w:t>
      </w:r>
    </w:p>
    <w:p w:rsidR="00F15A75" w:rsidRPr="005C13A2" w:rsidRDefault="00F15A75" w:rsidP="00F15A75">
      <w:pPr>
        <w:pStyle w:val="aff4"/>
        <w:spacing w:before="60" w:after="60"/>
        <w:ind w:left="851"/>
        <w:contextualSpacing w:val="0"/>
        <w:jc w:val="both"/>
        <w:outlineLvl w:val="0"/>
      </w:pPr>
      <w:r w:rsidRPr="005C13A2">
        <w:t>Установлены преференции в виде 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4E1AD0">
        <w:t>.</w:t>
      </w:r>
    </w:p>
    <w:p w:rsidR="004F07B3" w:rsidRPr="005C13A2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Срок, место и порядок предоставления </w:t>
      </w:r>
      <w:r w:rsidR="00E03ECB" w:rsidRPr="005C13A2">
        <w:t xml:space="preserve">закупочной </w:t>
      </w:r>
      <w:r w:rsidRPr="005C13A2">
        <w:t>документации:</w:t>
      </w:r>
    </w:p>
    <w:p w:rsidR="00A033BC" w:rsidRPr="005C13A2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5C13A2">
        <w:rPr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5C13A2">
        <w:rPr>
          <w:sz w:val="24"/>
        </w:rPr>
        <w:t xml:space="preserve">, </w:t>
      </w:r>
      <w:r w:rsidR="00D05B42" w:rsidRPr="005C13A2">
        <w:rPr>
          <w:sz w:val="24"/>
        </w:rPr>
        <w:t xml:space="preserve">указанные </w:t>
      </w:r>
      <w:r w:rsidR="00345C40" w:rsidRPr="005C13A2">
        <w:rPr>
          <w:sz w:val="24"/>
        </w:rPr>
        <w:t>в п. 3 Извещения</w:t>
      </w:r>
      <w:r w:rsidRPr="005C13A2">
        <w:rPr>
          <w:sz w:val="24"/>
        </w:rPr>
        <w:t>, начиная с даты размещения настоящего извещения.</w:t>
      </w:r>
    </w:p>
    <w:p w:rsidR="004906CD" w:rsidRPr="005C13A2" w:rsidRDefault="001C4D21" w:rsidP="004906CD">
      <w:pPr>
        <w:pStyle w:val="af8"/>
        <w:spacing w:before="0" w:line="240" w:lineRule="auto"/>
        <w:ind w:left="1134"/>
        <w:rPr>
          <w:sz w:val="24"/>
        </w:rPr>
      </w:pPr>
      <w:bookmarkStart w:id="3" w:name="_Ref316300967"/>
      <w:r w:rsidRPr="005C13A2">
        <w:rPr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3"/>
    </w:p>
    <w:p w:rsidR="005C1C51" w:rsidRPr="005C13A2" w:rsidRDefault="005C1C51" w:rsidP="00793214">
      <w:pPr>
        <w:pStyle w:val="af8"/>
        <w:spacing w:after="60" w:line="240" w:lineRule="auto"/>
        <w:ind w:left="1134"/>
        <w:rPr>
          <w:sz w:val="24"/>
        </w:rPr>
      </w:pPr>
      <w:r w:rsidRPr="005C13A2">
        <w:rPr>
          <w:sz w:val="24"/>
        </w:rPr>
        <w:t xml:space="preserve">Плата за предоставление </w:t>
      </w:r>
      <w:r w:rsidR="00E03ECB" w:rsidRPr="005C13A2">
        <w:rPr>
          <w:sz w:val="24"/>
        </w:rPr>
        <w:t xml:space="preserve">закупочной </w:t>
      </w:r>
      <w:r w:rsidRPr="005C13A2">
        <w:rPr>
          <w:sz w:val="24"/>
        </w:rPr>
        <w:t>документации не взимается.</w:t>
      </w:r>
    </w:p>
    <w:p w:rsidR="00D6678C" w:rsidRPr="005C13A2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5C13A2">
        <w:rPr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:rsidR="00881310" w:rsidRPr="005C13A2" w:rsidRDefault="0000393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Дата начала предоставления разъяснений закупочной документации: </w:t>
      </w:r>
      <w:r w:rsidR="003C4160" w:rsidRPr="004E1AD0">
        <w:t>с</w:t>
      </w:r>
      <w:r w:rsidRPr="004E1AD0">
        <w:t xml:space="preserve"> «</w:t>
      </w:r>
      <w:r w:rsidR="004E2901">
        <w:t>23</w:t>
      </w:r>
      <w:r w:rsidRPr="004E1AD0">
        <w:t xml:space="preserve">» </w:t>
      </w:r>
      <w:r w:rsidR="004E2901">
        <w:t>июля</w:t>
      </w:r>
      <w:r w:rsidR="004E1AD0" w:rsidRPr="004E1AD0">
        <w:t xml:space="preserve"> </w:t>
      </w:r>
      <w:r w:rsidRPr="004E1AD0">
        <w:t>201</w:t>
      </w:r>
      <w:r w:rsidR="004E1AD0" w:rsidRPr="004E1AD0">
        <w:t>9</w:t>
      </w:r>
      <w:r w:rsidRPr="004E1AD0">
        <w:t xml:space="preserve"> года</w:t>
      </w:r>
      <w:r w:rsidR="004E1AD0" w:rsidRPr="004E1AD0">
        <w:t>.</w:t>
      </w:r>
    </w:p>
    <w:p w:rsidR="00003935" w:rsidRPr="004E1AD0" w:rsidRDefault="00003935" w:rsidP="00003935">
      <w:pPr>
        <w:pStyle w:val="aff4"/>
        <w:spacing w:before="60" w:after="60"/>
        <w:ind w:left="851"/>
        <w:contextualSpacing w:val="0"/>
        <w:jc w:val="both"/>
        <w:outlineLvl w:val="0"/>
      </w:pPr>
      <w:r w:rsidRPr="005C13A2">
        <w:t xml:space="preserve">Дата окончания предоставления разъяснений закупочной документации: </w:t>
      </w:r>
      <w:r w:rsidRPr="004E1AD0">
        <w:t>до «</w:t>
      </w:r>
      <w:r w:rsidR="004E2901">
        <w:t>05</w:t>
      </w:r>
      <w:r w:rsidRPr="004E1AD0">
        <w:t xml:space="preserve">» </w:t>
      </w:r>
      <w:r w:rsidR="004E2901">
        <w:t xml:space="preserve">августа </w:t>
      </w:r>
      <w:r w:rsidRPr="004E1AD0">
        <w:t>201</w:t>
      </w:r>
      <w:r w:rsidR="004E1AD0" w:rsidRPr="004E1AD0">
        <w:t>9</w:t>
      </w:r>
      <w:r w:rsidRPr="004E1AD0">
        <w:t xml:space="preserve"> года</w:t>
      </w:r>
      <w:r w:rsidR="004E1AD0" w:rsidRPr="004E1AD0">
        <w:t>.</w:t>
      </w:r>
    </w:p>
    <w:p w:rsidR="00881310" w:rsidRPr="005C13A2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5C13A2">
        <w:rPr>
          <w:rStyle w:val="FontStyle128"/>
          <w:sz w:val="24"/>
          <w:szCs w:val="24"/>
        </w:rPr>
        <w:t xml:space="preserve">Внесение изменений в закупочную документацию: </w:t>
      </w:r>
      <w:r w:rsidR="00DB0D0E" w:rsidRPr="005C13A2">
        <w:rPr>
          <w:rStyle w:val="FontStyle128"/>
          <w:sz w:val="24"/>
        </w:rPr>
        <w:t xml:space="preserve">в соответствии с </w:t>
      </w:r>
      <w:r w:rsidR="00DB0D0E" w:rsidRPr="005C13A2">
        <w:rPr>
          <w:rStyle w:val="FontStyle128"/>
          <w:sz w:val="24"/>
          <w:szCs w:val="24"/>
        </w:rPr>
        <w:t>требованиями, установленными в закупочной</w:t>
      </w:r>
      <w:r w:rsidR="00DB0D0E" w:rsidRPr="005C13A2">
        <w:rPr>
          <w:rStyle w:val="FontStyle128"/>
          <w:sz w:val="24"/>
        </w:rPr>
        <w:t xml:space="preserve"> документации</w:t>
      </w:r>
      <w:r w:rsidR="00DB0D0E" w:rsidRPr="005C13A2">
        <w:rPr>
          <w:rStyle w:val="FontStyle128"/>
          <w:sz w:val="24"/>
          <w:szCs w:val="24"/>
        </w:rPr>
        <w:t>.</w:t>
      </w:r>
    </w:p>
    <w:p w:rsidR="00334C51" w:rsidRPr="005C13A2" w:rsidRDefault="00E2322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Место подачи и срок окончания подачи заявок на участие в </w:t>
      </w:r>
      <w:r w:rsidR="00E03ECB" w:rsidRPr="005C13A2">
        <w:t>закупке</w:t>
      </w:r>
      <w:r w:rsidRPr="005C13A2">
        <w:t xml:space="preserve">: заявки на участие в </w:t>
      </w:r>
      <w:r w:rsidR="00E03ECB" w:rsidRPr="005C13A2">
        <w:t xml:space="preserve">закупке </w:t>
      </w:r>
      <w:r w:rsidR="00E57C20" w:rsidRPr="005C13A2">
        <w:t>должны быть</w:t>
      </w:r>
      <w:r w:rsidR="005914BF" w:rsidRPr="005C13A2">
        <w:t xml:space="preserve"> поданы </w:t>
      </w:r>
      <w:r w:rsidR="005914BF" w:rsidRPr="00E95C7C">
        <w:t xml:space="preserve">до </w:t>
      </w:r>
      <w:r w:rsidR="00E95C7C" w:rsidRPr="00E95C7C">
        <w:t>12</w:t>
      </w:r>
      <w:r w:rsidR="005914BF" w:rsidRPr="00E95C7C">
        <w:t>:</w:t>
      </w:r>
      <w:r w:rsidR="00E95C7C" w:rsidRPr="00E95C7C">
        <w:t>00</w:t>
      </w:r>
      <w:r w:rsidR="005914BF" w:rsidRPr="00E95C7C">
        <w:t xml:space="preserve"> (по московскому времени) «</w:t>
      </w:r>
      <w:r w:rsidR="004E2901">
        <w:t>08</w:t>
      </w:r>
      <w:r w:rsidR="005914BF" w:rsidRPr="00E95C7C">
        <w:t xml:space="preserve">» </w:t>
      </w:r>
      <w:r w:rsidR="004E2901">
        <w:t>августа</w:t>
      </w:r>
      <w:r w:rsidR="005914BF" w:rsidRPr="00E95C7C">
        <w:t xml:space="preserve"> 201</w:t>
      </w:r>
      <w:r w:rsidR="00E95C7C" w:rsidRPr="00E95C7C">
        <w:t>9</w:t>
      </w:r>
      <w:r w:rsidR="005914BF" w:rsidRPr="00E95C7C">
        <w:t xml:space="preserve"> года</w:t>
      </w:r>
      <w:r w:rsidR="00E95C7C">
        <w:rPr>
          <w:color w:val="548DD4"/>
        </w:rPr>
        <w:t xml:space="preserve"> </w:t>
      </w:r>
      <w:r w:rsidR="00FE4106" w:rsidRPr="005C13A2">
        <w:t>через соответствующий функционал электронной торговой площадки, указанный в пункте 3 настоящего извещения</w:t>
      </w:r>
      <w:r w:rsidR="00334C51" w:rsidRPr="005C13A2">
        <w:t>.</w:t>
      </w:r>
    </w:p>
    <w:p w:rsidR="005C13A2" w:rsidRPr="005C13A2" w:rsidRDefault="005C13A2" w:rsidP="0016536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Дата рассмотрения заявок на участие в закупке: </w:t>
      </w:r>
      <w:r w:rsidRPr="00E95C7C">
        <w:t>до «</w:t>
      </w:r>
      <w:r w:rsidR="004E2901">
        <w:t>13</w:t>
      </w:r>
      <w:r w:rsidRPr="00E95C7C">
        <w:t xml:space="preserve">» </w:t>
      </w:r>
      <w:r w:rsidR="004E2901">
        <w:t>сентября</w:t>
      </w:r>
      <w:r w:rsidRPr="00E95C7C">
        <w:t xml:space="preserve"> 201</w:t>
      </w:r>
      <w:r w:rsidR="00E95C7C" w:rsidRPr="00E95C7C">
        <w:t xml:space="preserve">9 </w:t>
      </w:r>
      <w:r w:rsidRPr="00E95C7C">
        <w:t>года</w:t>
      </w:r>
      <w:r w:rsidR="00E95C7C" w:rsidRPr="00E95C7C">
        <w:t>.</w:t>
      </w:r>
    </w:p>
    <w:p w:rsidR="005C13A2" w:rsidRPr="005C13A2" w:rsidRDefault="005C13A2" w:rsidP="0016536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>Дата подведения итогов закуп</w:t>
      </w:r>
      <w:bookmarkStart w:id="4" w:name="_GoBack"/>
      <w:bookmarkEnd w:id="4"/>
      <w:r w:rsidRPr="005C13A2">
        <w:t xml:space="preserve">ки: </w:t>
      </w:r>
      <w:r w:rsidR="00494165">
        <w:t xml:space="preserve">до </w:t>
      </w:r>
      <w:r w:rsidRPr="00E95C7C">
        <w:t>«</w:t>
      </w:r>
      <w:r w:rsidR="004E2901">
        <w:t>18</w:t>
      </w:r>
      <w:r w:rsidRPr="00E95C7C">
        <w:t xml:space="preserve">» </w:t>
      </w:r>
      <w:r w:rsidR="004E2901">
        <w:t>октября</w:t>
      </w:r>
      <w:r w:rsidRPr="00E95C7C">
        <w:t xml:space="preserve"> 201</w:t>
      </w:r>
      <w:r w:rsidR="00E95C7C" w:rsidRPr="00E95C7C">
        <w:t>8</w:t>
      </w:r>
      <w:r w:rsidRPr="00E95C7C">
        <w:t xml:space="preserve"> года</w:t>
      </w:r>
      <w:r w:rsidR="00E95C7C" w:rsidRPr="00E95C7C">
        <w:t>.</w:t>
      </w:r>
    </w:p>
    <w:p w:rsidR="00830285" w:rsidRPr="005C13A2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="00E95C7C">
        <w:rPr>
          <w:rStyle w:val="FontStyle128"/>
          <w:sz w:val="24"/>
          <w:szCs w:val="24"/>
        </w:rPr>
        <w:t>в</w:t>
      </w:r>
      <w:r w:rsidRPr="005C13A2">
        <w:rPr>
          <w:rStyle w:val="FontStyle128"/>
          <w:sz w:val="24"/>
          <w:szCs w:val="24"/>
        </w:rPr>
        <w:t xml:space="preserve"> соответствии с Разделом </w:t>
      </w:r>
      <w:r w:rsidR="008D0F51" w:rsidRPr="005C13A2">
        <w:rPr>
          <w:rStyle w:val="FontStyle128"/>
          <w:sz w:val="24"/>
          <w:szCs w:val="24"/>
        </w:rPr>
        <w:t>8</w:t>
      </w:r>
      <w:r w:rsidRPr="005C13A2">
        <w:rPr>
          <w:rStyle w:val="FontStyle128"/>
          <w:sz w:val="24"/>
          <w:szCs w:val="24"/>
        </w:rPr>
        <w:t xml:space="preserve"> Закупочной документации – Руководство по экспертной оценке</w:t>
      </w:r>
      <w:r w:rsidR="00E95C7C">
        <w:rPr>
          <w:rStyle w:val="FontStyle128"/>
          <w:sz w:val="24"/>
          <w:szCs w:val="24"/>
        </w:rPr>
        <w:t>.</w:t>
      </w:r>
    </w:p>
    <w:p w:rsidR="00830285" w:rsidRPr="005C13A2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rPr>
          <w:rStyle w:val="FontStyle128"/>
          <w:sz w:val="24"/>
          <w:szCs w:val="24"/>
          <w:lang w:eastAsia="en-US"/>
        </w:rPr>
        <w:lastRenderedPageBreak/>
        <w:t xml:space="preserve">Порядок оценки и сопоставления заявок на участие в закупке: </w:t>
      </w:r>
      <w:r w:rsidR="00E95C7C">
        <w:rPr>
          <w:rStyle w:val="FontStyle128"/>
          <w:sz w:val="24"/>
          <w:szCs w:val="24"/>
        </w:rPr>
        <w:t>в</w:t>
      </w:r>
      <w:r w:rsidRPr="005C13A2">
        <w:rPr>
          <w:rStyle w:val="FontStyle128"/>
          <w:sz w:val="24"/>
          <w:szCs w:val="24"/>
        </w:rPr>
        <w:t xml:space="preserve"> соответствии с Разделом </w:t>
      </w:r>
      <w:r w:rsidR="008D0F51" w:rsidRPr="005C13A2">
        <w:rPr>
          <w:rStyle w:val="FontStyle128"/>
          <w:sz w:val="24"/>
          <w:szCs w:val="24"/>
        </w:rPr>
        <w:t>8</w:t>
      </w:r>
      <w:r w:rsidR="00B715C0">
        <w:rPr>
          <w:rStyle w:val="FontStyle128"/>
          <w:sz w:val="24"/>
          <w:szCs w:val="24"/>
        </w:rPr>
        <w:t xml:space="preserve"> </w:t>
      </w:r>
      <w:r w:rsidRPr="005C13A2">
        <w:rPr>
          <w:rStyle w:val="FontStyle128"/>
          <w:sz w:val="24"/>
          <w:szCs w:val="24"/>
        </w:rPr>
        <w:t>Закупочной документации – Руководство по экспертной оценке</w:t>
      </w:r>
      <w:r w:rsidR="00E95C7C">
        <w:rPr>
          <w:rStyle w:val="FontStyle128"/>
          <w:sz w:val="24"/>
          <w:szCs w:val="24"/>
        </w:rPr>
        <w:t>.</w:t>
      </w:r>
    </w:p>
    <w:p w:rsidR="00830285" w:rsidRPr="00E95C7C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  <w:lang w:eastAsia="en-US"/>
        </w:rPr>
      </w:pPr>
      <w:r w:rsidRPr="005C13A2">
        <w:rPr>
          <w:rStyle w:val="FontStyle128"/>
          <w:sz w:val="24"/>
          <w:szCs w:val="24"/>
          <w:lang w:eastAsia="en-US"/>
        </w:rPr>
        <w:t xml:space="preserve">Возможность проведения переговоров: </w:t>
      </w:r>
      <w:r w:rsidRPr="00E95C7C">
        <w:rPr>
          <w:rStyle w:val="FontStyle128"/>
          <w:sz w:val="24"/>
          <w:szCs w:val="24"/>
          <w:lang w:eastAsia="en-US"/>
        </w:rPr>
        <w:t>возможно</w:t>
      </w:r>
      <w:r w:rsidR="00E95C7C" w:rsidRPr="00E95C7C">
        <w:rPr>
          <w:rStyle w:val="FontStyle128"/>
          <w:sz w:val="24"/>
          <w:szCs w:val="24"/>
          <w:lang w:eastAsia="en-US"/>
        </w:rPr>
        <w:t>.</w:t>
      </w:r>
    </w:p>
    <w:p w:rsidR="00830285" w:rsidRPr="005C13A2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rPr>
          <w:rStyle w:val="FontStyle128"/>
          <w:sz w:val="24"/>
          <w:szCs w:val="24"/>
          <w:lang w:eastAsia="en-US"/>
        </w:rPr>
        <w:t>Подписание протокола о результатах закупки</w:t>
      </w:r>
      <w:r w:rsidRPr="005C13A2">
        <w:rPr>
          <w:rStyle w:val="FontStyle128"/>
          <w:color w:val="auto"/>
          <w:sz w:val="24"/>
          <w:szCs w:val="24"/>
          <w:lang w:eastAsia="en-US"/>
        </w:rPr>
        <w:t>:</w:t>
      </w:r>
      <w:r w:rsidR="00FE75FB" w:rsidRPr="00FE75FB">
        <w:rPr>
          <w:lang w:eastAsia="en-US"/>
        </w:rPr>
        <w:t xml:space="preserve"> </w:t>
      </w:r>
      <w:r w:rsidR="00FE75FB" w:rsidRPr="00FE75FB">
        <w:rPr>
          <w:b/>
          <w:lang w:eastAsia="en-US"/>
        </w:rPr>
        <w:t>Не установлено</w:t>
      </w:r>
      <w:r w:rsidR="00E95C7C">
        <w:rPr>
          <w:b/>
          <w:lang w:eastAsia="en-US"/>
        </w:rPr>
        <w:t>.</w:t>
      </w:r>
    </w:p>
    <w:p w:rsidR="00BA6847" w:rsidRPr="00BA6847" w:rsidRDefault="005C13A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5C13A2">
        <w:rPr>
          <w:rStyle w:val="FontStyle128"/>
          <w:sz w:val="24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 w:rsidRPr="005C13A2">
        <w:rPr>
          <w:rStyle w:val="a9"/>
          <w:color w:val="000000"/>
          <w:szCs w:val="26"/>
        </w:rPr>
        <w:footnoteReference w:id="2"/>
      </w:r>
    </w:p>
    <w:p w:rsidR="00830285" w:rsidRPr="005C13A2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>Обеспечение исполнения договора и/или возврата аванса и/или гарантийных обязательств:</w:t>
      </w:r>
      <w:r w:rsidR="00E95C7C">
        <w:t xml:space="preserve"> в соответствии с проектом договора.</w:t>
      </w:r>
    </w:p>
    <w:p w:rsidR="00830285" w:rsidRPr="00E95C7C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5C13A2">
        <w:rPr>
          <w:rStyle w:val="FontStyle128"/>
          <w:sz w:val="24"/>
          <w:szCs w:val="24"/>
        </w:rPr>
        <w:t xml:space="preserve">Валюта закупки: </w:t>
      </w:r>
      <w:r w:rsidR="00E95C7C" w:rsidRPr="00E95C7C">
        <w:rPr>
          <w:rStyle w:val="FontStyle128"/>
          <w:sz w:val="24"/>
          <w:szCs w:val="24"/>
        </w:rPr>
        <w:t>рубли, РФ.</w:t>
      </w:r>
    </w:p>
    <w:p w:rsidR="008504D2" w:rsidRPr="00E95C7C" w:rsidRDefault="000349B4" w:rsidP="008504D2">
      <w:pPr>
        <w:pStyle w:val="aff4"/>
        <w:spacing w:before="60" w:after="60"/>
        <w:ind w:left="851"/>
        <w:contextualSpacing w:val="0"/>
        <w:jc w:val="both"/>
      </w:pPr>
      <w:r w:rsidRPr="00E95C7C">
        <w:t xml:space="preserve">Возможность представления заявки, где ценовое предложение выражено </w:t>
      </w:r>
      <w:r w:rsidR="00E95C7C">
        <w:t xml:space="preserve">в </w:t>
      </w:r>
      <w:r w:rsidRPr="00E95C7C">
        <w:t xml:space="preserve">иностранной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 </w:t>
      </w:r>
      <w:r w:rsidR="00E95C7C" w:rsidRPr="00E95C7C">
        <w:t>не допускается.</w:t>
      </w:r>
    </w:p>
    <w:p w:rsidR="00247EF7" w:rsidRPr="00E95C7C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5C13A2">
        <w:rPr>
          <w:rStyle w:val="FontStyle128"/>
          <w:sz w:val="24"/>
          <w:szCs w:val="24"/>
        </w:rPr>
        <w:t xml:space="preserve">Возможность привлечения субподрядчика/соисполнителя: </w:t>
      </w:r>
      <w:r w:rsidR="003D6358" w:rsidRPr="00E95C7C">
        <w:rPr>
          <w:rStyle w:val="FontStyle128"/>
          <w:sz w:val="24"/>
          <w:szCs w:val="24"/>
        </w:rPr>
        <w:t>допускается</w:t>
      </w:r>
      <w:r w:rsidR="00E95C7C" w:rsidRPr="00E95C7C">
        <w:rPr>
          <w:rStyle w:val="FontStyle128"/>
          <w:sz w:val="24"/>
          <w:szCs w:val="24"/>
        </w:rPr>
        <w:t>.</w:t>
      </w:r>
    </w:p>
    <w:p w:rsidR="00625762" w:rsidRPr="005C13A2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rPr>
          <w:rStyle w:val="FontStyle128"/>
          <w:sz w:val="24"/>
          <w:szCs w:val="24"/>
        </w:rPr>
        <w:t xml:space="preserve">Возможность подачи альтернативных предложений: </w:t>
      </w:r>
      <w:r w:rsidRPr="00E95C7C">
        <w:t>допускается</w:t>
      </w:r>
      <w:r w:rsidR="00E95C7C" w:rsidRPr="00E95C7C">
        <w:t>.</w:t>
      </w:r>
    </w:p>
    <w:p w:rsidR="006D5526" w:rsidRPr="005C13A2" w:rsidRDefault="00B12BA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>П</w:t>
      </w:r>
      <w:r w:rsidR="00DE65E8" w:rsidRPr="005C13A2">
        <w:t xml:space="preserve">одробные условия </w:t>
      </w:r>
      <w:r w:rsidR="00E03ECB" w:rsidRPr="005C13A2">
        <w:t>закупки</w:t>
      </w:r>
      <w:r w:rsidRPr="005C13A2">
        <w:t xml:space="preserve">, а также условия заключения договора по результатам </w:t>
      </w:r>
      <w:r w:rsidR="00E03ECB" w:rsidRPr="005C13A2">
        <w:t xml:space="preserve">закупки </w:t>
      </w:r>
      <w:r w:rsidR="00DE65E8" w:rsidRPr="005C13A2">
        <w:t xml:space="preserve">содержатся в </w:t>
      </w:r>
      <w:r w:rsidR="00E03ECB" w:rsidRPr="005C13A2">
        <w:t>Закупочной</w:t>
      </w:r>
      <w:r w:rsidR="00DE65E8" w:rsidRPr="005C13A2">
        <w:t xml:space="preserve"> документации</w:t>
      </w:r>
      <w:r w:rsidR="006D5526" w:rsidRPr="005C13A2">
        <w:t xml:space="preserve">, которая является неотъемлемой частью извещения о проведении </w:t>
      </w:r>
      <w:r w:rsidR="00E03ECB" w:rsidRPr="005C13A2">
        <w:t>закупки</w:t>
      </w:r>
      <w:r w:rsidR="006D5526" w:rsidRPr="005C13A2">
        <w:t xml:space="preserve">. </w:t>
      </w:r>
    </w:p>
    <w:p w:rsidR="005C13A2" w:rsidRPr="005C13A2" w:rsidRDefault="005C13A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11" w:history="1">
        <w:r w:rsidRPr="005C13A2">
          <w:rPr>
            <w:rStyle w:val="a8"/>
          </w:rPr>
          <w:t>http://www.interrao-zakupki.ru/</w:t>
        </w:r>
      </w:hyperlink>
      <w:r w:rsidRPr="005C13A2">
        <w:t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п.5.2.1 Закупочной документации, как «Не требуется предоставлять, если участник закупки является Аккредитованным поставщиком в Группе «Интер РАО»).</w:t>
      </w:r>
    </w:p>
    <w:sectPr w:rsidR="005C13A2" w:rsidRPr="005C13A2" w:rsidSect="003A318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D73" w:rsidRDefault="00AB0D73">
      <w:r>
        <w:separator/>
      </w:r>
    </w:p>
  </w:endnote>
  <w:endnote w:type="continuationSeparator" w:id="0">
    <w:p w:rsidR="00AB0D73" w:rsidRDefault="00AB0D73">
      <w:r>
        <w:continuationSeparator/>
      </w:r>
    </w:p>
  </w:endnote>
  <w:endnote w:type="continuationNotice" w:id="1">
    <w:p w:rsidR="00AB0D73" w:rsidRDefault="00AB0D7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571" w:rsidRDefault="0011157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571" w:rsidRDefault="0011157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571" w:rsidRDefault="0011157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D73" w:rsidRDefault="00AB0D73">
      <w:r>
        <w:separator/>
      </w:r>
    </w:p>
  </w:footnote>
  <w:footnote w:type="continuationSeparator" w:id="0">
    <w:p w:rsidR="00AB0D73" w:rsidRDefault="00AB0D73">
      <w:r>
        <w:continuationSeparator/>
      </w:r>
    </w:p>
  </w:footnote>
  <w:footnote w:type="continuationNotice" w:id="1">
    <w:p w:rsidR="00AB0D73" w:rsidRDefault="00AB0D73">
      <w:pPr>
        <w:spacing w:line="240" w:lineRule="auto"/>
      </w:pPr>
    </w:p>
  </w:footnote>
  <w:footnote w:id="2">
    <w:p w:rsidR="005C13A2" w:rsidRDefault="005C13A2" w:rsidP="005C13A2">
      <w:pPr>
        <w:pStyle w:val="ae"/>
      </w:pPr>
      <w:r>
        <w:rPr>
          <w:rStyle w:val="a9"/>
        </w:rPr>
        <w:footnoteRef/>
      </w:r>
      <w:r>
        <w:t xml:space="preserve"> </w:t>
      </w:r>
      <w:r w:rsidRPr="005C13A2">
        <w:t>Под датой размещения итогового протокола подразумевается дата не ранее размещения протокола выбора победителя и не позднее размещения протокола по экспертизе справки о цепочке собственников победителя закупки.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571" w:rsidRDefault="0011157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571" w:rsidRDefault="0011157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111571" w:rsidTr="002719CC">
      <w:trPr>
        <w:trHeight w:val="991"/>
      </w:trPr>
      <w:tc>
        <w:tcPr>
          <w:tcW w:w="11907" w:type="dxa"/>
          <w:shd w:val="clear" w:color="auto" w:fill="auto"/>
          <w:vAlign w:val="center"/>
        </w:tcPr>
        <w:p w:rsidR="00111571" w:rsidRDefault="00111571" w:rsidP="00111571">
          <w:pPr>
            <w:tabs>
              <w:tab w:val="left" w:pos="907"/>
              <w:tab w:val="left" w:pos="8931"/>
            </w:tabs>
            <w:spacing w:line="240" w:lineRule="auto"/>
            <w:jc w:val="center"/>
          </w:pPr>
          <w:r>
            <w:rPr>
              <w:noProof/>
              <w:snapToGrid/>
            </w:rPr>
            <w:drawing>
              <wp:inline distT="0" distB="0" distL="0" distR="0">
                <wp:extent cx="2162175" cy="695325"/>
                <wp:effectExtent l="0" t="0" r="9525" b="9525"/>
                <wp:docPr id="2" name="Рисунок 2" descr="C:\Documents and Settings\khomyakov_sv\My Documents\My Pictures\Горизонтальный JP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Documents and Settings\khomyakov_sv\My Documents\My Pictures\Горизонтальный 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11571" w:rsidRPr="00EC063E" w:rsidTr="002719CC">
      <w:trPr>
        <w:trHeight w:val="707"/>
      </w:trPr>
      <w:tc>
        <w:tcPr>
          <w:tcW w:w="11907" w:type="dxa"/>
          <w:shd w:val="clear" w:color="auto" w:fill="auto"/>
          <w:vAlign w:val="center"/>
        </w:tcPr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Большая </w:t>
          </w:r>
          <w:proofErr w:type="spellStart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Пироговская</w:t>
          </w:r>
          <w:proofErr w:type="spellEnd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 ул., д. 27, стр. 3, г. Москва, Россия, 119435</w:t>
          </w:r>
        </w:p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Телефон: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+7 (495) 664 8840,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Факс: +7 (495) 664 8841</w:t>
          </w:r>
        </w:p>
        <w:p w:rsidR="00111571" w:rsidRPr="00EC063E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www.interrao-zakupki.ru</w:t>
          </w:r>
        </w:p>
      </w:tc>
    </w:tr>
  </w:tbl>
  <w:p w:rsidR="00A84D1F" w:rsidRPr="00111571" w:rsidRDefault="00A84D1F" w:rsidP="001115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3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6"/>
  </w:num>
  <w:num w:numId="5">
    <w:abstractNumId w:val="12"/>
  </w:num>
  <w:num w:numId="6">
    <w:abstractNumId w:val="13"/>
  </w:num>
  <w:num w:numId="7">
    <w:abstractNumId w:val="0"/>
  </w:num>
  <w:num w:numId="8">
    <w:abstractNumId w:val="2"/>
  </w:num>
  <w:num w:numId="9">
    <w:abstractNumId w:val="11"/>
  </w:num>
  <w:num w:numId="10">
    <w:abstractNumId w:val="7"/>
  </w:num>
  <w:num w:numId="11">
    <w:abstractNumId w:val="3"/>
  </w:num>
  <w:num w:numId="12">
    <w:abstractNumId w:val="9"/>
  </w:num>
  <w:num w:numId="13">
    <w:abstractNumId w:val="10"/>
  </w:num>
  <w:num w:numId="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76E"/>
    <w:rsid w:val="00003935"/>
    <w:rsid w:val="00024D27"/>
    <w:rsid w:val="0003443A"/>
    <w:rsid w:val="000349B4"/>
    <w:rsid w:val="0004491B"/>
    <w:rsid w:val="000623E3"/>
    <w:rsid w:val="0006755F"/>
    <w:rsid w:val="000779E0"/>
    <w:rsid w:val="00080929"/>
    <w:rsid w:val="00081695"/>
    <w:rsid w:val="00083C57"/>
    <w:rsid w:val="00084945"/>
    <w:rsid w:val="000858E5"/>
    <w:rsid w:val="00096391"/>
    <w:rsid w:val="000979FF"/>
    <w:rsid w:val="000A25EA"/>
    <w:rsid w:val="000B1A2A"/>
    <w:rsid w:val="000B476E"/>
    <w:rsid w:val="000D3798"/>
    <w:rsid w:val="000D3D75"/>
    <w:rsid w:val="000D54EE"/>
    <w:rsid w:val="00106E7B"/>
    <w:rsid w:val="00111571"/>
    <w:rsid w:val="00126091"/>
    <w:rsid w:val="00130BA3"/>
    <w:rsid w:val="00131000"/>
    <w:rsid w:val="00145595"/>
    <w:rsid w:val="0016536E"/>
    <w:rsid w:val="001B3C23"/>
    <w:rsid w:val="001C4D21"/>
    <w:rsid w:val="001D028F"/>
    <w:rsid w:val="001E7061"/>
    <w:rsid w:val="0020549E"/>
    <w:rsid w:val="00215120"/>
    <w:rsid w:val="002311AD"/>
    <w:rsid w:val="00247EF7"/>
    <w:rsid w:val="0025132C"/>
    <w:rsid w:val="00263C7B"/>
    <w:rsid w:val="0027502F"/>
    <w:rsid w:val="00282789"/>
    <w:rsid w:val="00287C63"/>
    <w:rsid w:val="002A3D20"/>
    <w:rsid w:val="002A48AF"/>
    <w:rsid w:val="002A4ECB"/>
    <w:rsid w:val="002B3EF1"/>
    <w:rsid w:val="002D3066"/>
    <w:rsid w:val="003171D3"/>
    <w:rsid w:val="003256E4"/>
    <w:rsid w:val="00334C51"/>
    <w:rsid w:val="00342E59"/>
    <w:rsid w:val="00345C40"/>
    <w:rsid w:val="003527D0"/>
    <w:rsid w:val="00367E82"/>
    <w:rsid w:val="003777EB"/>
    <w:rsid w:val="00377D24"/>
    <w:rsid w:val="003842A8"/>
    <w:rsid w:val="003A3180"/>
    <w:rsid w:val="003C4160"/>
    <w:rsid w:val="003D5326"/>
    <w:rsid w:val="003D6358"/>
    <w:rsid w:val="004011EC"/>
    <w:rsid w:val="004224A9"/>
    <w:rsid w:val="004465FD"/>
    <w:rsid w:val="004557F1"/>
    <w:rsid w:val="004601DD"/>
    <w:rsid w:val="00460971"/>
    <w:rsid w:val="00466AA2"/>
    <w:rsid w:val="0048270B"/>
    <w:rsid w:val="004906CD"/>
    <w:rsid w:val="00494165"/>
    <w:rsid w:val="004A54F0"/>
    <w:rsid w:val="004A5F84"/>
    <w:rsid w:val="004B0D2E"/>
    <w:rsid w:val="004C3117"/>
    <w:rsid w:val="004C6803"/>
    <w:rsid w:val="004E0FA7"/>
    <w:rsid w:val="004E1AD0"/>
    <w:rsid w:val="004E2901"/>
    <w:rsid w:val="004F07B3"/>
    <w:rsid w:val="004F6184"/>
    <w:rsid w:val="005332DF"/>
    <w:rsid w:val="00533C8D"/>
    <w:rsid w:val="00533E29"/>
    <w:rsid w:val="00554D02"/>
    <w:rsid w:val="00556C61"/>
    <w:rsid w:val="0055744F"/>
    <w:rsid w:val="005805AA"/>
    <w:rsid w:val="00583BDF"/>
    <w:rsid w:val="0058618D"/>
    <w:rsid w:val="005914BF"/>
    <w:rsid w:val="005A6DF8"/>
    <w:rsid w:val="005B1792"/>
    <w:rsid w:val="005B2697"/>
    <w:rsid w:val="005C04C2"/>
    <w:rsid w:val="005C13A2"/>
    <w:rsid w:val="005C1C51"/>
    <w:rsid w:val="005D289A"/>
    <w:rsid w:val="005D2E64"/>
    <w:rsid w:val="005E08BF"/>
    <w:rsid w:val="005F73B6"/>
    <w:rsid w:val="00622381"/>
    <w:rsid w:val="00623392"/>
    <w:rsid w:val="00625762"/>
    <w:rsid w:val="00626D3B"/>
    <w:rsid w:val="006404D6"/>
    <w:rsid w:val="00661759"/>
    <w:rsid w:val="006636D7"/>
    <w:rsid w:val="00682484"/>
    <w:rsid w:val="00684650"/>
    <w:rsid w:val="00686A1D"/>
    <w:rsid w:val="006B2C98"/>
    <w:rsid w:val="006B6D60"/>
    <w:rsid w:val="006D1551"/>
    <w:rsid w:val="006D37B6"/>
    <w:rsid w:val="006D5526"/>
    <w:rsid w:val="006E69CA"/>
    <w:rsid w:val="006F22B3"/>
    <w:rsid w:val="006F41D0"/>
    <w:rsid w:val="00705033"/>
    <w:rsid w:val="007221F2"/>
    <w:rsid w:val="007449D6"/>
    <w:rsid w:val="00761AEB"/>
    <w:rsid w:val="007643F9"/>
    <w:rsid w:val="00781EBF"/>
    <w:rsid w:val="00781FE9"/>
    <w:rsid w:val="00783390"/>
    <w:rsid w:val="00791326"/>
    <w:rsid w:val="00791D08"/>
    <w:rsid w:val="00793214"/>
    <w:rsid w:val="007A501D"/>
    <w:rsid w:val="007A66FA"/>
    <w:rsid w:val="007B5F8B"/>
    <w:rsid w:val="007B723F"/>
    <w:rsid w:val="007C2F14"/>
    <w:rsid w:val="007D0496"/>
    <w:rsid w:val="007D6FFE"/>
    <w:rsid w:val="007E72E3"/>
    <w:rsid w:val="00823C46"/>
    <w:rsid w:val="00825D9B"/>
    <w:rsid w:val="00830285"/>
    <w:rsid w:val="008504D2"/>
    <w:rsid w:val="00855244"/>
    <w:rsid w:val="00870AF3"/>
    <w:rsid w:val="008712C4"/>
    <w:rsid w:val="00881310"/>
    <w:rsid w:val="00893C9B"/>
    <w:rsid w:val="008A3A15"/>
    <w:rsid w:val="008A6CBE"/>
    <w:rsid w:val="008B33C0"/>
    <w:rsid w:val="008C7FA5"/>
    <w:rsid w:val="008D0F51"/>
    <w:rsid w:val="008E0645"/>
    <w:rsid w:val="008E7105"/>
    <w:rsid w:val="008F693A"/>
    <w:rsid w:val="00914604"/>
    <w:rsid w:val="00923BE8"/>
    <w:rsid w:val="00927F46"/>
    <w:rsid w:val="0093563F"/>
    <w:rsid w:val="0093752A"/>
    <w:rsid w:val="00945EFD"/>
    <w:rsid w:val="009541CC"/>
    <w:rsid w:val="00961DCE"/>
    <w:rsid w:val="00963017"/>
    <w:rsid w:val="00973C58"/>
    <w:rsid w:val="009869D5"/>
    <w:rsid w:val="009C2B48"/>
    <w:rsid w:val="009D21D0"/>
    <w:rsid w:val="009F651A"/>
    <w:rsid w:val="00A033BC"/>
    <w:rsid w:val="00A048BA"/>
    <w:rsid w:val="00A057E9"/>
    <w:rsid w:val="00A0692F"/>
    <w:rsid w:val="00A0744D"/>
    <w:rsid w:val="00A23A01"/>
    <w:rsid w:val="00A252AF"/>
    <w:rsid w:val="00A3258D"/>
    <w:rsid w:val="00A33698"/>
    <w:rsid w:val="00A460EC"/>
    <w:rsid w:val="00A51544"/>
    <w:rsid w:val="00A51643"/>
    <w:rsid w:val="00A557F8"/>
    <w:rsid w:val="00A57645"/>
    <w:rsid w:val="00A83CBB"/>
    <w:rsid w:val="00A84D1F"/>
    <w:rsid w:val="00A92CA2"/>
    <w:rsid w:val="00A971F2"/>
    <w:rsid w:val="00AA327A"/>
    <w:rsid w:val="00AA61B3"/>
    <w:rsid w:val="00AB0D73"/>
    <w:rsid w:val="00AC2C43"/>
    <w:rsid w:val="00AC65F1"/>
    <w:rsid w:val="00AF187C"/>
    <w:rsid w:val="00AF4FC4"/>
    <w:rsid w:val="00AF6BAF"/>
    <w:rsid w:val="00AF7270"/>
    <w:rsid w:val="00B06AD2"/>
    <w:rsid w:val="00B12BA7"/>
    <w:rsid w:val="00B25316"/>
    <w:rsid w:val="00B25D52"/>
    <w:rsid w:val="00B30F85"/>
    <w:rsid w:val="00B36365"/>
    <w:rsid w:val="00B36BDC"/>
    <w:rsid w:val="00B40E8D"/>
    <w:rsid w:val="00B54AEB"/>
    <w:rsid w:val="00B5515C"/>
    <w:rsid w:val="00B553B1"/>
    <w:rsid w:val="00B663CB"/>
    <w:rsid w:val="00B715C0"/>
    <w:rsid w:val="00B7165D"/>
    <w:rsid w:val="00B807AF"/>
    <w:rsid w:val="00B85B57"/>
    <w:rsid w:val="00B91313"/>
    <w:rsid w:val="00B93C2C"/>
    <w:rsid w:val="00BA6847"/>
    <w:rsid w:val="00BD5C46"/>
    <w:rsid w:val="00BF7B47"/>
    <w:rsid w:val="00C108A2"/>
    <w:rsid w:val="00C22329"/>
    <w:rsid w:val="00C23E23"/>
    <w:rsid w:val="00C255AC"/>
    <w:rsid w:val="00C432CC"/>
    <w:rsid w:val="00C43680"/>
    <w:rsid w:val="00C54650"/>
    <w:rsid w:val="00C626FD"/>
    <w:rsid w:val="00C638F2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5445"/>
    <w:rsid w:val="00D05B42"/>
    <w:rsid w:val="00D07713"/>
    <w:rsid w:val="00D35105"/>
    <w:rsid w:val="00D43680"/>
    <w:rsid w:val="00D45947"/>
    <w:rsid w:val="00D54E69"/>
    <w:rsid w:val="00D6678C"/>
    <w:rsid w:val="00D7396B"/>
    <w:rsid w:val="00D73D52"/>
    <w:rsid w:val="00D8235E"/>
    <w:rsid w:val="00D8452D"/>
    <w:rsid w:val="00D92D3C"/>
    <w:rsid w:val="00D9316C"/>
    <w:rsid w:val="00D9767E"/>
    <w:rsid w:val="00DA220E"/>
    <w:rsid w:val="00DA7A2F"/>
    <w:rsid w:val="00DB0D0E"/>
    <w:rsid w:val="00DB5874"/>
    <w:rsid w:val="00DB6161"/>
    <w:rsid w:val="00DC3F6B"/>
    <w:rsid w:val="00DC416A"/>
    <w:rsid w:val="00DC4239"/>
    <w:rsid w:val="00DD0592"/>
    <w:rsid w:val="00DD52EF"/>
    <w:rsid w:val="00DE65E8"/>
    <w:rsid w:val="00DF4A32"/>
    <w:rsid w:val="00E03ECB"/>
    <w:rsid w:val="00E10957"/>
    <w:rsid w:val="00E145BC"/>
    <w:rsid w:val="00E17718"/>
    <w:rsid w:val="00E23222"/>
    <w:rsid w:val="00E260C6"/>
    <w:rsid w:val="00E369C0"/>
    <w:rsid w:val="00E3757A"/>
    <w:rsid w:val="00E57C20"/>
    <w:rsid w:val="00E7215B"/>
    <w:rsid w:val="00E74D40"/>
    <w:rsid w:val="00E7538C"/>
    <w:rsid w:val="00E819F8"/>
    <w:rsid w:val="00E82DAC"/>
    <w:rsid w:val="00E95C7C"/>
    <w:rsid w:val="00EB6FEB"/>
    <w:rsid w:val="00ED6FEB"/>
    <w:rsid w:val="00EE5147"/>
    <w:rsid w:val="00F036B5"/>
    <w:rsid w:val="00F13B19"/>
    <w:rsid w:val="00F15A75"/>
    <w:rsid w:val="00F32B7C"/>
    <w:rsid w:val="00F33099"/>
    <w:rsid w:val="00F34A8D"/>
    <w:rsid w:val="00F46A11"/>
    <w:rsid w:val="00F476CF"/>
    <w:rsid w:val="00F60CAC"/>
    <w:rsid w:val="00F70945"/>
    <w:rsid w:val="00F77463"/>
    <w:rsid w:val="00F8393F"/>
    <w:rsid w:val="00F92A7E"/>
    <w:rsid w:val="00FD13C3"/>
    <w:rsid w:val="00FD3925"/>
    <w:rsid w:val="00FD52B9"/>
    <w:rsid w:val="00FE1088"/>
    <w:rsid w:val="00FE11A1"/>
    <w:rsid w:val="00FE1418"/>
    <w:rsid w:val="00FE4106"/>
    <w:rsid w:val="00FE75FB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7DBC549"/>
  <w15:docId w15:val="{850A3947-92AF-4B6E-BE52-66CCB2121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Заголовок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5">
    <w:name w:val="Абзац списка Знак"/>
    <w:link w:val="aff4"/>
    <w:uiPriority w:val="34"/>
    <w:rsid w:val="004E1AD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terrao-zakupki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tektorg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ensb.tomsk.ru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4F5D6-837B-4DFA-BC01-E8C4B5A55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1107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7407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Цыганов Виталий Владимирович</cp:lastModifiedBy>
  <cp:revision>18</cp:revision>
  <cp:lastPrinted>2019-07-23T12:23:00Z</cp:lastPrinted>
  <dcterms:created xsi:type="dcterms:W3CDTF">2015-06-03T11:24:00Z</dcterms:created>
  <dcterms:modified xsi:type="dcterms:W3CDTF">2019-07-23T12:23:00Z</dcterms:modified>
</cp:coreProperties>
</file>