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08D" w:rsidRPr="005B6522" w:rsidRDefault="000F608D" w:rsidP="000F608D">
      <w:pPr>
        <w:jc w:val="righ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Приложение №2</w:t>
      </w:r>
    </w:p>
    <w:p w:rsidR="000F608D" w:rsidRPr="005B6522" w:rsidRDefault="000F608D" w:rsidP="000F608D">
      <w:pPr>
        <w:jc w:val="righ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К Договору №______ от «___» ________ 20__ г.</w:t>
      </w:r>
    </w:p>
    <w:p w:rsidR="000F608D" w:rsidRPr="005B6522" w:rsidRDefault="000F608D" w:rsidP="000F608D">
      <w:pPr>
        <w:jc w:val="center"/>
        <w:rPr>
          <w:rFonts w:ascii="Times New Roman" w:hAnsi="Times New Roman" w:cs="Times New Roman"/>
          <w:color w:val="000000"/>
          <w:sz w:val="26"/>
          <w:szCs w:val="26"/>
          <w:lang w:val="ru-RU"/>
        </w:rPr>
      </w:pPr>
    </w:p>
    <w:p w:rsidR="000F608D" w:rsidRPr="005B6522" w:rsidRDefault="000F608D" w:rsidP="000F608D">
      <w:pPr>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СУБЛИЦЕНЗИОННОЕ СОГЛАШЕНИЕ</w:t>
      </w:r>
    </w:p>
    <w:p w:rsidR="000F608D" w:rsidRPr="005B6522" w:rsidRDefault="000F608D" w:rsidP="000F608D">
      <w:pPr>
        <w:jc w:val="center"/>
        <w:rPr>
          <w:rFonts w:ascii="Times New Roman" w:hAnsi="Times New Roman" w:cs="Times New Roman"/>
          <w:color w:val="000000"/>
          <w:sz w:val="26"/>
          <w:szCs w:val="26"/>
          <w:lang w:val="ru-RU"/>
        </w:rPr>
      </w:pPr>
    </w:p>
    <w:p w:rsidR="000F608D" w:rsidRPr="005B6522" w:rsidRDefault="000F608D" w:rsidP="000F608D">
      <w:pPr>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г. Томск</w:t>
      </w:r>
      <w:r w:rsidRPr="005B6522">
        <w:rPr>
          <w:rFonts w:ascii="Times New Roman" w:hAnsi="Times New Roman" w:cs="Times New Roman"/>
          <w:color w:val="000000"/>
          <w:sz w:val="26"/>
          <w:szCs w:val="26"/>
          <w:lang w:val="ru-RU"/>
        </w:rPr>
        <w:tab/>
        <w:t xml:space="preserve">                          </w:t>
      </w:r>
      <w:r w:rsidRPr="005B6522">
        <w:rPr>
          <w:rFonts w:ascii="Times New Roman" w:hAnsi="Times New Roman" w:cs="Times New Roman"/>
          <w:color w:val="000000"/>
          <w:sz w:val="26"/>
          <w:szCs w:val="26"/>
          <w:lang w:val="ru-RU"/>
        </w:rPr>
        <w:tab/>
      </w:r>
      <w:r w:rsidRPr="005B6522">
        <w:rPr>
          <w:rFonts w:ascii="Times New Roman" w:hAnsi="Times New Roman" w:cs="Times New Roman"/>
          <w:color w:val="000000"/>
          <w:sz w:val="26"/>
          <w:szCs w:val="26"/>
          <w:lang w:val="ru-RU"/>
        </w:rPr>
        <w:tab/>
        <w:t xml:space="preserve">                        </w:t>
      </w:r>
      <w:r w:rsidRPr="005B6522">
        <w:rPr>
          <w:rFonts w:ascii="Times New Roman" w:hAnsi="Times New Roman" w:cs="Times New Roman"/>
          <w:color w:val="000000"/>
          <w:sz w:val="26"/>
          <w:szCs w:val="26"/>
          <w:lang w:val="ru-RU"/>
        </w:rPr>
        <w:tab/>
        <w:t xml:space="preserve"> «_____»______________20___ г.</w:t>
      </w:r>
    </w:p>
    <w:p w:rsidR="000F608D" w:rsidRPr="005B6522" w:rsidRDefault="000F608D" w:rsidP="000F608D">
      <w:pPr>
        <w:jc w:val="both"/>
        <w:rPr>
          <w:rFonts w:ascii="Times New Roman" w:hAnsi="Times New Roman" w:cs="Times New Roman"/>
          <w:color w:val="000000"/>
          <w:sz w:val="26"/>
          <w:szCs w:val="26"/>
          <w:lang w:val="ru-RU"/>
        </w:rPr>
      </w:pPr>
    </w:p>
    <w:p w:rsidR="000F608D" w:rsidRPr="005B6522" w:rsidRDefault="000F608D" w:rsidP="000F608D">
      <w:pPr>
        <w:ind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 xml:space="preserve">Публичное акционерное общество «Томская энергосбытовая компания» (ПАО </w:t>
      </w:r>
      <w:r w:rsidR="00E31FB0">
        <w:rPr>
          <w:rFonts w:ascii="Times New Roman" w:hAnsi="Times New Roman" w:cs="Times New Roman"/>
          <w:color w:val="000000"/>
          <w:sz w:val="26"/>
          <w:szCs w:val="26"/>
          <w:lang w:val="ru-RU"/>
        </w:rPr>
        <w:t xml:space="preserve">«Томскэнергосбыт»), </w:t>
      </w:r>
      <w:r w:rsidRPr="005B6522">
        <w:rPr>
          <w:rFonts w:ascii="Times New Roman" w:hAnsi="Times New Roman" w:cs="Times New Roman"/>
          <w:color w:val="000000"/>
          <w:sz w:val="26"/>
          <w:szCs w:val="26"/>
          <w:lang w:val="ru-RU"/>
        </w:rPr>
        <w:t>именуемое в дальнейшем «Сублицензиат», в лице Генерального директора Кодина Александра Викторовича, действующего на основании Устава, с одной стороны, и</w:t>
      </w:r>
    </w:p>
    <w:p w:rsidR="000F608D" w:rsidRPr="005B6522" w:rsidRDefault="000F608D" w:rsidP="000F608D">
      <w:pPr>
        <w:ind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_________, ___________ «_______________», в лице ________________, действующего на основании _________, именуемое в дальнейшем «Лицензиат», с другой стороны, заключили настоящее соглашение, далее именуемое «Соглашение» к договору №_____ от «___» ________ 20__г., далее именуемому «Договор», о нижеследующем:</w:t>
      </w:r>
    </w:p>
    <w:p w:rsidR="000F608D" w:rsidRPr="005B6522" w:rsidRDefault="000F608D" w:rsidP="000F608D">
      <w:pPr>
        <w:ind w:firstLine="708"/>
        <w:jc w:val="both"/>
        <w:rPr>
          <w:rFonts w:ascii="Times New Roman" w:hAnsi="Times New Roman" w:cs="Times New Roman"/>
          <w:color w:val="000000"/>
          <w:sz w:val="26"/>
          <w:szCs w:val="26"/>
          <w:lang w:val="ru-RU"/>
        </w:rPr>
      </w:pPr>
    </w:p>
    <w:p w:rsidR="000F608D" w:rsidRPr="005B6522" w:rsidRDefault="000F608D" w:rsidP="000F608D">
      <w:pPr>
        <w:keepNext/>
        <w:jc w:val="center"/>
        <w:outlineLvl w:val="0"/>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1. Предмет Соглашения</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 обязуется предоставить Сублицензиату неисключительные права на использование программного обеспечения на условиях настоящего Соглашения и выдать простую (неисключительную) лицензию в электронном виде,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и/или юридическим лицам.</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настоящим Соглашением и Договором.</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Предоставление прав на использование программного обеспечения сопровождается передачей Сублицензиату Комплекта программного обеспечения и Лицензии (либо лицензий) на использование программного обеспечения.</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Перечень передаваемого программного обеспечения (лицензий) определен в Приложении № 1 к настоящему Соглашению.</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Объем прав Сублицензиата на использование программного обеспечения установлен настоящим Соглашением.</w:t>
      </w:r>
    </w:p>
    <w:p w:rsidR="000F608D" w:rsidRPr="005B6522" w:rsidRDefault="000F608D" w:rsidP="000F608D">
      <w:pPr>
        <w:numPr>
          <w:ilvl w:val="1"/>
          <w:numId w:val="4"/>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Территория использования – г. Томск.</w:t>
      </w:r>
    </w:p>
    <w:p w:rsidR="000F608D" w:rsidRPr="005B6522" w:rsidRDefault="000F608D" w:rsidP="000F608D">
      <w:pPr>
        <w:jc w:val="both"/>
        <w:rPr>
          <w:rFonts w:ascii="Times New Roman" w:hAnsi="Times New Roman" w:cs="Times New Roman"/>
          <w:color w:val="000000"/>
          <w:sz w:val="26"/>
          <w:szCs w:val="26"/>
          <w:lang w:val="ru-RU"/>
        </w:rPr>
      </w:pPr>
    </w:p>
    <w:p w:rsidR="000F608D" w:rsidRPr="005B6522" w:rsidRDefault="000F608D" w:rsidP="000F608D">
      <w:pPr>
        <w:keepNext/>
        <w:numPr>
          <w:ilvl w:val="0"/>
          <w:numId w:val="1"/>
        </w:numPr>
        <w:suppressAutoHyphens w:val="0"/>
        <w:jc w:val="center"/>
        <w:outlineLvl w:val="0"/>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Права и обязанности Лицензиата</w:t>
      </w:r>
    </w:p>
    <w:p w:rsidR="000F608D" w:rsidRPr="005B6522" w:rsidRDefault="000F608D" w:rsidP="000F608D">
      <w:pPr>
        <w:numPr>
          <w:ilvl w:val="1"/>
          <w:numId w:val="5"/>
        </w:numPr>
        <w:suppressAutoHyphens w:val="0"/>
        <w:ind w:firstLine="20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Права Лицензиата:</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Лицензиату принадлежат права на использование программного обеспечения, в том числе право на распоряжение программным обеспечением, на его использование в любой форме и любым способом в соответствии с ___________________________________________ в связи с чем Лицензиат гарантирует, что он обладает всеми правами, необходимыми для заключения и исполнения настоящего Соглашения.</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 вправе требовать выплаты вознаграждения за предоставленное право на использование программного обеспечения.</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lastRenderedPageBreak/>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rsidR="000F608D" w:rsidRPr="005B6522" w:rsidRDefault="000F608D" w:rsidP="000F608D">
      <w:pPr>
        <w:jc w:val="both"/>
        <w:rPr>
          <w:rFonts w:ascii="Times New Roman" w:hAnsi="Times New Roman" w:cs="Times New Roman"/>
          <w:color w:val="000000"/>
          <w:sz w:val="26"/>
          <w:szCs w:val="26"/>
          <w:lang w:val="ru-RU"/>
        </w:rPr>
      </w:pPr>
    </w:p>
    <w:p w:rsidR="000F608D" w:rsidRPr="005B6522" w:rsidRDefault="000F608D" w:rsidP="000F608D">
      <w:pPr>
        <w:numPr>
          <w:ilvl w:val="1"/>
          <w:numId w:val="5"/>
        </w:numPr>
        <w:suppressAutoHyphens w:val="0"/>
        <w:ind w:left="720" w:hanging="153"/>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Обязанности Лицензиата:</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 обязан предоставить Сублицензиату программное обеспечение, указанное в Приложении №1 для использования, передав Сублицензиату Комплекты программного обеспечения в количестве, установленном Приложением №1 к настоящему Соглашению в соответствии с графиком поставки (Приложение №3 к Договору).</w:t>
      </w:r>
    </w:p>
    <w:p w:rsidR="000F608D" w:rsidRPr="005B6522" w:rsidRDefault="000F608D" w:rsidP="000F608D">
      <w:pPr>
        <w:keepNext/>
        <w:keepLines/>
        <w:numPr>
          <w:ilvl w:val="2"/>
          <w:numId w:val="5"/>
        </w:numPr>
        <w:adjustRightInd w:val="0"/>
        <w:ind w:left="0" w:firstLine="426"/>
        <w:contextualSpacing/>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 xml:space="preserve">Лицензиат обязан выдать Сублицензиату лицензию (либо лицензии) на использование программного обеспечения, в которой должны быть отражены основные условия </w:t>
      </w:r>
      <w:proofErr w:type="spellStart"/>
      <w:r w:rsidRPr="005B6522">
        <w:rPr>
          <w:rFonts w:ascii="Times New Roman" w:hAnsi="Times New Roman" w:cs="Times New Roman"/>
          <w:color w:val="000000"/>
          <w:sz w:val="26"/>
          <w:szCs w:val="26"/>
          <w:lang w:val="ru-RU"/>
        </w:rPr>
        <w:t>Сублицензионного</w:t>
      </w:r>
      <w:proofErr w:type="spellEnd"/>
      <w:r w:rsidRPr="005B6522">
        <w:rPr>
          <w:rFonts w:ascii="Times New Roman" w:hAnsi="Times New Roman" w:cs="Times New Roman"/>
          <w:color w:val="000000"/>
          <w:sz w:val="26"/>
          <w:szCs w:val="26"/>
          <w:lang w:val="ru-RU"/>
        </w:rPr>
        <w:t xml:space="preserve"> соглашения.</w:t>
      </w:r>
    </w:p>
    <w:p w:rsidR="000F608D" w:rsidRPr="005B6522" w:rsidRDefault="000F608D" w:rsidP="000F608D">
      <w:pPr>
        <w:keepNext/>
        <w:keepLines/>
        <w:adjustRightInd w:val="0"/>
        <w:ind w:left="426"/>
        <w:contextualSpacing/>
        <w:jc w:val="both"/>
        <w:rPr>
          <w:rFonts w:ascii="Times New Roman" w:hAnsi="Times New Roman" w:cs="Times New Roman"/>
          <w:color w:val="000000"/>
          <w:sz w:val="26"/>
          <w:szCs w:val="26"/>
          <w:lang w:val="ru-RU"/>
        </w:rPr>
      </w:pPr>
    </w:p>
    <w:p w:rsidR="000F608D" w:rsidRPr="005B6522" w:rsidRDefault="000F608D" w:rsidP="000F608D">
      <w:pPr>
        <w:numPr>
          <w:ilvl w:val="0"/>
          <w:numId w:val="5"/>
        </w:numPr>
        <w:suppressAutoHyphens w:val="0"/>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Права и обязанности Сублицензиата</w:t>
      </w:r>
    </w:p>
    <w:p w:rsidR="000F608D" w:rsidRPr="005B6522" w:rsidRDefault="000F608D" w:rsidP="000F608D">
      <w:pPr>
        <w:numPr>
          <w:ilvl w:val="1"/>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 вправе:</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Осуществлять эксплуатацию программного обеспечения в соответствии с его назначением, в том числе запись и хранение в памяти ЭВМ.</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Соглашении и должна быть возвращена Лицензиату либо уничтожена в случае, если владение экземпляром этой программы перестает быть правомерным.</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 не обязан представлять Лицензиату отчеты об использовании программ.</w:t>
      </w:r>
    </w:p>
    <w:p w:rsidR="000F608D" w:rsidRPr="005B6522" w:rsidRDefault="000F608D" w:rsidP="000F608D">
      <w:pPr>
        <w:numPr>
          <w:ilvl w:val="1"/>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 обязан:</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В течение 5 (пяти) рабочих дней с момента заключения Договора предоставить Лицензиату индивидуальную информацию Сублицензиата при ее отсутствии у Лицензиата.</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Не допускать действий, влекущих за собой нарушение прав Лицензиата.</w:t>
      </w:r>
    </w:p>
    <w:p w:rsidR="000F608D" w:rsidRPr="005B6522" w:rsidRDefault="000F608D" w:rsidP="000F608D">
      <w:pPr>
        <w:numPr>
          <w:ilvl w:val="2"/>
          <w:numId w:val="5"/>
        </w:numPr>
        <w:suppressAutoHyphens w:val="0"/>
        <w:ind w:left="0" w:firstLine="567"/>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 xml:space="preserve">Своевременно производить оплату вознаграждения за право пользования программным обеспечением в соответствии с условиями Договора. </w:t>
      </w:r>
    </w:p>
    <w:p w:rsidR="000F608D" w:rsidRPr="005B6522" w:rsidRDefault="000F608D" w:rsidP="000F608D">
      <w:pPr>
        <w:jc w:val="center"/>
        <w:rPr>
          <w:rFonts w:ascii="Times New Roman" w:hAnsi="Times New Roman" w:cs="Times New Roman"/>
          <w:color w:val="000000"/>
          <w:sz w:val="26"/>
          <w:szCs w:val="26"/>
          <w:lang w:val="ru-RU"/>
        </w:rPr>
      </w:pPr>
    </w:p>
    <w:p w:rsidR="000F608D" w:rsidRPr="005B6522" w:rsidRDefault="000F608D" w:rsidP="000F608D">
      <w:pPr>
        <w:numPr>
          <w:ilvl w:val="0"/>
          <w:numId w:val="5"/>
        </w:numPr>
        <w:suppressAutoHyphens w:val="0"/>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Цена Соглашения.  Порядок расчетов</w:t>
      </w:r>
    </w:p>
    <w:p w:rsidR="000F608D" w:rsidRPr="005B6522" w:rsidRDefault="000F608D" w:rsidP="000F608D">
      <w:pPr>
        <w:numPr>
          <w:ilvl w:val="1"/>
          <w:numId w:val="5"/>
        </w:numPr>
        <w:suppressAutoHyphens w:val="0"/>
        <w:ind w:left="0"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Размер вознаграждения, подлежащего уплате Лицензиату за предоставление неисключительного права на использование программного обеспечения, определяется в соответствии с Приложением №1 к настоящему Соглашению и составляет</w:t>
      </w:r>
      <w:proofErr w:type="gramStart"/>
      <w:r w:rsidRPr="005B6522">
        <w:rPr>
          <w:rFonts w:ascii="Times New Roman" w:hAnsi="Times New Roman" w:cs="Times New Roman"/>
          <w:color w:val="000000"/>
          <w:sz w:val="26"/>
          <w:szCs w:val="26"/>
          <w:lang w:val="ru-RU"/>
        </w:rPr>
        <w:t xml:space="preserve"> _________(________), </w:t>
      </w:r>
      <w:proofErr w:type="gramEnd"/>
      <w:r w:rsidRPr="005B6522">
        <w:rPr>
          <w:rFonts w:ascii="Times New Roman" w:hAnsi="Times New Roman" w:cs="Times New Roman"/>
          <w:color w:val="000000"/>
          <w:sz w:val="26"/>
          <w:szCs w:val="26"/>
          <w:lang w:val="ru-RU"/>
        </w:rPr>
        <w:t>НДС не облагается на основании пункта 2 подпункта 26 ст.149 Налогового кодекса РФ.</w:t>
      </w:r>
    </w:p>
    <w:p w:rsidR="000F608D" w:rsidRPr="005B6522" w:rsidRDefault="000F608D" w:rsidP="000F608D">
      <w:pPr>
        <w:numPr>
          <w:ilvl w:val="1"/>
          <w:numId w:val="5"/>
        </w:numPr>
        <w:suppressAutoHyphens w:val="0"/>
        <w:ind w:left="0"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 производит оплату вознаграждения на условиях Договора.</w:t>
      </w:r>
    </w:p>
    <w:p w:rsidR="000F608D" w:rsidRPr="005B6522" w:rsidRDefault="000F608D" w:rsidP="000F608D">
      <w:pPr>
        <w:jc w:val="both"/>
        <w:rPr>
          <w:rFonts w:ascii="Times New Roman" w:hAnsi="Times New Roman" w:cs="Times New Roman"/>
          <w:color w:val="000000"/>
          <w:sz w:val="26"/>
          <w:szCs w:val="26"/>
          <w:lang w:val="ru-RU"/>
        </w:rPr>
      </w:pPr>
    </w:p>
    <w:p w:rsidR="000F608D" w:rsidRPr="005B6522" w:rsidRDefault="000F608D" w:rsidP="000F608D">
      <w:pPr>
        <w:numPr>
          <w:ilvl w:val="0"/>
          <w:numId w:val="2"/>
        </w:numPr>
        <w:suppressAutoHyphens w:val="0"/>
        <w:ind w:left="0" w:firstLine="0"/>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Порядок сдачи и приемки</w:t>
      </w:r>
    </w:p>
    <w:p w:rsidR="000F608D" w:rsidRPr="005B6522" w:rsidRDefault="000F608D" w:rsidP="000F608D">
      <w:pPr>
        <w:numPr>
          <w:ilvl w:val="1"/>
          <w:numId w:val="6"/>
        </w:numPr>
        <w:suppressAutoHyphens w:val="0"/>
        <w:ind w:left="0" w:firstLine="709"/>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lastRenderedPageBreak/>
        <w:t>Программное обеспечение передаётся представителю Сублицензиата с подписанием сторонами Акта приема-передачи лицензии (программного обеспечения). Акт приема-передачи составляет Лицензиат и предоставляет Сублицензиату совместно с программным обеспечением.</w:t>
      </w:r>
    </w:p>
    <w:p w:rsidR="000F608D" w:rsidRPr="005B6522" w:rsidRDefault="000F608D" w:rsidP="000F608D">
      <w:pPr>
        <w:numPr>
          <w:ilvl w:val="1"/>
          <w:numId w:val="6"/>
        </w:numPr>
        <w:suppressAutoHyphens w:val="0"/>
        <w:ind w:left="0" w:firstLine="709"/>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Датой получения комплекта (комплектов) программного обеспечения Сублицензиатом считается дата подписания сторонами Акта приема-передачи лицензии (программного обеспечения).</w:t>
      </w:r>
    </w:p>
    <w:p w:rsidR="000F608D" w:rsidRPr="005B6522" w:rsidRDefault="000F608D" w:rsidP="000F608D">
      <w:pPr>
        <w:numPr>
          <w:ilvl w:val="1"/>
          <w:numId w:val="6"/>
        </w:numPr>
        <w:suppressAutoHyphens w:val="0"/>
        <w:ind w:left="0" w:firstLine="709"/>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rsidR="000F608D" w:rsidRPr="005B6522" w:rsidRDefault="000F608D" w:rsidP="000F608D">
      <w:pPr>
        <w:jc w:val="center"/>
        <w:rPr>
          <w:rFonts w:ascii="Times New Roman" w:hAnsi="Times New Roman" w:cs="Times New Roman"/>
          <w:color w:val="000000"/>
          <w:sz w:val="26"/>
          <w:szCs w:val="26"/>
          <w:lang w:val="ru-RU"/>
        </w:rPr>
      </w:pPr>
    </w:p>
    <w:p w:rsidR="000F608D" w:rsidRPr="005B6522" w:rsidRDefault="000F608D" w:rsidP="000F608D">
      <w:pPr>
        <w:numPr>
          <w:ilvl w:val="0"/>
          <w:numId w:val="3"/>
        </w:numPr>
        <w:suppressAutoHyphens w:val="0"/>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Прочие условия</w:t>
      </w:r>
    </w:p>
    <w:p w:rsidR="000F608D" w:rsidRPr="005B6522" w:rsidRDefault="000F608D" w:rsidP="000F608D">
      <w:pPr>
        <w:numPr>
          <w:ilvl w:val="1"/>
          <w:numId w:val="3"/>
        </w:numPr>
        <w:suppressAutoHyphens w:val="0"/>
        <w:ind w:left="0"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Права на использование программного обеспечения либо его новых версий, переданные по настоящему Соглашению, не могут передаваться Сублицензиатом полностью или частично другим лицам, кроме случаев, предусмотренных настоящим Соглашением.</w:t>
      </w:r>
    </w:p>
    <w:p w:rsidR="000F608D" w:rsidRPr="005B6522" w:rsidRDefault="000F608D" w:rsidP="000F608D">
      <w:pPr>
        <w:numPr>
          <w:ilvl w:val="1"/>
          <w:numId w:val="3"/>
        </w:numPr>
        <w:tabs>
          <w:tab w:val="num" w:pos="709"/>
        </w:tabs>
        <w:suppressAutoHyphens w:val="0"/>
        <w:ind w:left="0" w:firstLine="709"/>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 гарантирует, что программное обеспечение (лицензии), права на которые передаются Сублицензиату по настоящему Соглашению принадлежат Лицензиату на основании ____________________________, права передаются правомерно и не обременены правами третьих лиц. В случае предъявления к Сублицензиату претензий, связанных с нарушением Лицензиатом данной гарантии, Лицензиат обязуется самостоятельно урегулировать эти претензии и возместит Сублицензиату расходы, понесенные в связи предъявлением таких претензий третьими лицами не позднее 10 дней с момента получения от Лицензиата соответствующего требования.</w:t>
      </w:r>
    </w:p>
    <w:p w:rsidR="000F608D" w:rsidRPr="005B6522" w:rsidRDefault="000F608D" w:rsidP="000F608D">
      <w:pPr>
        <w:numPr>
          <w:ilvl w:val="1"/>
          <w:numId w:val="3"/>
        </w:numPr>
        <w:suppressAutoHyphens w:val="0"/>
        <w:ind w:left="0" w:firstLine="720"/>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Ни Сублицензиат, ни пользователи программного обеспечения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за исключением случаев, предусмотренных настоящим Соглашением, вносить изменения в программное обеспечение, переделывать программное обеспечение.</w:t>
      </w:r>
    </w:p>
    <w:p w:rsidR="000F608D" w:rsidRPr="005B6522" w:rsidRDefault="000F608D" w:rsidP="000F608D">
      <w:pPr>
        <w:numPr>
          <w:ilvl w:val="0"/>
          <w:numId w:val="3"/>
        </w:numPr>
        <w:suppressAutoHyphens w:val="0"/>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Приложения к настоящему Соглашению:</w:t>
      </w:r>
    </w:p>
    <w:p w:rsidR="000F608D" w:rsidRPr="005B6522" w:rsidRDefault="000F608D" w:rsidP="000F608D">
      <w:pPr>
        <w:jc w:val="both"/>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 Приложение № 1 – Спецификация передаваемых лицензий.</w:t>
      </w:r>
    </w:p>
    <w:p w:rsidR="000F608D" w:rsidRPr="005B6522" w:rsidRDefault="000F608D" w:rsidP="000F608D">
      <w:pPr>
        <w:rPr>
          <w:rFonts w:ascii="Times New Roman" w:hAnsi="Times New Roman" w:cs="Times New Roman"/>
          <w:color w:val="000000"/>
          <w:sz w:val="26"/>
          <w:szCs w:val="26"/>
          <w:lang w:val="ru-RU"/>
        </w:rPr>
      </w:pPr>
    </w:p>
    <w:tbl>
      <w:tblPr>
        <w:tblpPr w:leftFromText="180" w:rightFromText="180" w:vertAnchor="text" w:horzAnchor="margin" w:tblpXSpec="center" w:tblpY="117"/>
        <w:tblOverlap w:val="never"/>
        <w:tblW w:w="8926" w:type="dxa"/>
        <w:tblLayout w:type="fixed"/>
        <w:tblLook w:val="04A0" w:firstRow="1" w:lastRow="0" w:firstColumn="1" w:lastColumn="0" w:noHBand="0" w:noVBand="1"/>
      </w:tblPr>
      <w:tblGrid>
        <w:gridCol w:w="4957"/>
        <w:gridCol w:w="3969"/>
      </w:tblGrid>
      <w:tr w:rsidR="000F608D" w:rsidRPr="005B6522" w:rsidTr="00385FAE">
        <w:tc>
          <w:tcPr>
            <w:tcW w:w="4957"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w:t>
            </w:r>
          </w:p>
          <w:p w:rsidR="000F608D" w:rsidRPr="005B6522" w:rsidRDefault="000F608D" w:rsidP="00385FAE">
            <w:pPr>
              <w:jc w:val="both"/>
              <w:rPr>
                <w:rFonts w:ascii="Times New Roman" w:hAnsi="Times New Roman" w:cs="Times New Roman"/>
                <w:color w:val="000000"/>
                <w:sz w:val="26"/>
                <w:szCs w:val="26"/>
                <w:lang w:val="ru-RU"/>
              </w:rPr>
            </w:pPr>
          </w:p>
        </w:tc>
        <w:tc>
          <w:tcPr>
            <w:tcW w:w="3969"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w:t>
            </w:r>
          </w:p>
          <w:p w:rsidR="000F608D" w:rsidRPr="005B6522" w:rsidRDefault="000F608D" w:rsidP="00385FAE">
            <w:pPr>
              <w:keepNext/>
              <w:spacing w:line="240" w:lineRule="atLeast"/>
              <w:rPr>
                <w:rFonts w:ascii="Times New Roman" w:hAnsi="Times New Roman" w:cs="Times New Roman"/>
                <w:color w:val="000000"/>
                <w:sz w:val="26"/>
                <w:szCs w:val="26"/>
                <w:lang w:val="ru-RU"/>
              </w:rPr>
            </w:pPr>
          </w:p>
        </w:tc>
      </w:tr>
      <w:tr w:rsidR="000F608D" w:rsidRPr="005B6522" w:rsidTr="00385FAE">
        <w:tc>
          <w:tcPr>
            <w:tcW w:w="4957"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___________/ Кодин А. В. /</w:t>
            </w:r>
          </w:p>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М.П.</w:t>
            </w:r>
          </w:p>
          <w:p w:rsidR="000F608D" w:rsidRPr="005B6522" w:rsidRDefault="000F608D" w:rsidP="00385FAE">
            <w:pPr>
              <w:keepNext/>
              <w:spacing w:line="240" w:lineRule="atLeast"/>
              <w:rPr>
                <w:rFonts w:ascii="Times New Roman" w:hAnsi="Times New Roman" w:cs="Times New Roman"/>
                <w:color w:val="000000"/>
                <w:sz w:val="26"/>
                <w:szCs w:val="26"/>
                <w:lang w:val="ru-RU"/>
              </w:rPr>
            </w:pPr>
          </w:p>
          <w:p w:rsidR="000F608D" w:rsidRPr="005B6522" w:rsidRDefault="000F608D" w:rsidP="00385FAE">
            <w:pPr>
              <w:keepNext/>
              <w:spacing w:line="240" w:lineRule="atLeast"/>
              <w:rPr>
                <w:rFonts w:ascii="Times New Roman" w:hAnsi="Times New Roman" w:cs="Times New Roman"/>
                <w:color w:val="000000"/>
                <w:sz w:val="26"/>
                <w:szCs w:val="26"/>
                <w:lang w:val="ru-RU"/>
              </w:rPr>
            </w:pPr>
          </w:p>
        </w:tc>
        <w:tc>
          <w:tcPr>
            <w:tcW w:w="3969"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_____________/_______________/</w:t>
            </w:r>
          </w:p>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М.П.</w:t>
            </w:r>
          </w:p>
        </w:tc>
      </w:tr>
    </w:tbl>
    <w:p w:rsidR="000F608D" w:rsidRDefault="000F608D" w:rsidP="000F608D">
      <w:pPr>
        <w:spacing w:before="120"/>
        <w:ind w:firstLine="720"/>
        <w:jc w:val="right"/>
        <w:rPr>
          <w:rFonts w:ascii="Times New Roman" w:hAnsi="Times New Roman" w:cs="Times New Roman"/>
          <w:color w:val="000000"/>
          <w:sz w:val="26"/>
          <w:szCs w:val="26"/>
          <w:lang w:val="ru-RU"/>
        </w:rPr>
      </w:pPr>
    </w:p>
    <w:p w:rsidR="000F608D" w:rsidRDefault="000F608D" w:rsidP="000F608D">
      <w:pPr>
        <w:spacing w:before="120"/>
        <w:ind w:firstLine="720"/>
        <w:jc w:val="right"/>
        <w:rPr>
          <w:rFonts w:ascii="Times New Roman" w:hAnsi="Times New Roman" w:cs="Times New Roman"/>
          <w:color w:val="000000"/>
          <w:sz w:val="26"/>
          <w:szCs w:val="26"/>
          <w:lang w:val="ru-RU"/>
        </w:rPr>
      </w:pPr>
    </w:p>
    <w:p w:rsidR="000F608D" w:rsidRDefault="000F608D" w:rsidP="000F608D">
      <w:pPr>
        <w:spacing w:before="120"/>
        <w:ind w:firstLine="720"/>
        <w:jc w:val="right"/>
        <w:rPr>
          <w:rFonts w:ascii="Times New Roman" w:hAnsi="Times New Roman" w:cs="Times New Roman"/>
          <w:color w:val="000000"/>
          <w:sz w:val="26"/>
          <w:szCs w:val="26"/>
          <w:lang w:val="ru-RU"/>
        </w:rPr>
      </w:pPr>
    </w:p>
    <w:p w:rsidR="000F608D" w:rsidRPr="005B6522" w:rsidRDefault="000F608D" w:rsidP="000F608D">
      <w:pPr>
        <w:spacing w:before="120"/>
        <w:ind w:firstLine="720"/>
        <w:jc w:val="righ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lastRenderedPageBreak/>
        <w:t>Приложение № 1</w:t>
      </w:r>
    </w:p>
    <w:p w:rsidR="000F608D" w:rsidRPr="005B6522" w:rsidRDefault="000F608D" w:rsidP="000F608D">
      <w:pPr>
        <w:jc w:val="righ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 xml:space="preserve">к </w:t>
      </w:r>
      <w:proofErr w:type="spellStart"/>
      <w:r w:rsidRPr="005B6522">
        <w:rPr>
          <w:rFonts w:ascii="Times New Roman" w:hAnsi="Times New Roman" w:cs="Times New Roman"/>
          <w:color w:val="000000"/>
          <w:sz w:val="26"/>
          <w:szCs w:val="26"/>
          <w:lang w:val="ru-RU"/>
        </w:rPr>
        <w:t>Сублицензионному</w:t>
      </w:r>
      <w:proofErr w:type="spellEnd"/>
      <w:r w:rsidRPr="005B6522">
        <w:rPr>
          <w:rFonts w:ascii="Times New Roman" w:hAnsi="Times New Roman" w:cs="Times New Roman"/>
          <w:color w:val="000000"/>
          <w:sz w:val="26"/>
          <w:szCs w:val="26"/>
          <w:lang w:val="ru-RU"/>
        </w:rPr>
        <w:t xml:space="preserve"> соглашению</w:t>
      </w:r>
    </w:p>
    <w:p w:rsidR="000F608D" w:rsidRPr="005B6522" w:rsidRDefault="000F608D" w:rsidP="000F608D">
      <w:pPr>
        <w:jc w:val="right"/>
        <w:rPr>
          <w:rFonts w:ascii="Times New Roman" w:hAnsi="Times New Roman" w:cs="Times New Roman"/>
          <w:color w:val="000000"/>
          <w:sz w:val="26"/>
          <w:szCs w:val="26"/>
          <w:lang w:val="ru-RU"/>
        </w:rPr>
      </w:pPr>
    </w:p>
    <w:p w:rsidR="000F608D" w:rsidRPr="005B6522" w:rsidRDefault="000F608D" w:rsidP="000F608D">
      <w:pPr>
        <w:tabs>
          <w:tab w:val="num" w:pos="-180"/>
        </w:tabs>
        <w:ind w:right="-6"/>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СПЕЦИФИКАЦИЯ</w:t>
      </w:r>
    </w:p>
    <w:p w:rsidR="000F608D" w:rsidRPr="005B6522" w:rsidRDefault="000F608D" w:rsidP="000F608D">
      <w:pPr>
        <w:tabs>
          <w:tab w:val="num" w:pos="-180"/>
        </w:tabs>
        <w:ind w:right="-6"/>
        <w:jc w:val="cente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передаваемых лицензий</w:t>
      </w:r>
    </w:p>
    <w:p w:rsidR="000F608D" w:rsidRPr="005B6522" w:rsidRDefault="000F608D" w:rsidP="000F608D">
      <w:pPr>
        <w:tabs>
          <w:tab w:val="num" w:pos="-180"/>
        </w:tabs>
        <w:ind w:right="-6"/>
        <w:jc w:val="both"/>
        <w:rPr>
          <w:rFonts w:ascii="Times New Roman" w:hAnsi="Times New Roman" w:cs="Times New Roman"/>
          <w:color w:val="000000"/>
          <w:sz w:val="26"/>
          <w:szCs w:val="26"/>
          <w:lang w:val="ru-RU"/>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55"/>
        <w:gridCol w:w="1673"/>
        <w:gridCol w:w="708"/>
        <w:gridCol w:w="596"/>
        <w:gridCol w:w="1418"/>
        <w:gridCol w:w="1417"/>
        <w:gridCol w:w="1701"/>
      </w:tblGrid>
      <w:tr w:rsidR="000F608D" w:rsidRPr="005B6522" w:rsidTr="00385FAE">
        <w:tc>
          <w:tcPr>
            <w:tcW w:w="426" w:type="dxa"/>
            <w:shd w:val="clear" w:color="auto" w:fill="auto"/>
          </w:tcPr>
          <w:p w:rsidR="000F608D" w:rsidRPr="005B6522" w:rsidRDefault="000F608D" w:rsidP="00385FAE">
            <w:pPr>
              <w:keepNext/>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 п/п</w:t>
            </w:r>
          </w:p>
        </w:tc>
        <w:tc>
          <w:tcPr>
            <w:tcW w:w="2155" w:type="dxa"/>
            <w:shd w:val="clear" w:color="auto" w:fill="auto"/>
            <w:vAlign w:val="center"/>
          </w:tcPr>
          <w:p w:rsidR="000F608D" w:rsidRPr="005B6522" w:rsidRDefault="000F608D" w:rsidP="00385FAE">
            <w:pPr>
              <w:keepNext/>
              <w:ind w:left="-52" w:right="-60"/>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Наименование</w:t>
            </w:r>
          </w:p>
        </w:tc>
        <w:tc>
          <w:tcPr>
            <w:tcW w:w="1673"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Номер (артикул) производителя</w:t>
            </w:r>
          </w:p>
        </w:tc>
        <w:tc>
          <w:tcPr>
            <w:tcW w:w="70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Ед. изм.</w:t>
            </w:r>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Кол-во, ед.</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Цена, руб.</w:t>
            </w: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Общая стоимость, руб.</w:t>
            </w:r>
          </w:p>
        </w:tc>
        <w:tc>
          <w:tcPr>
            <w:tcW w:w="1701" w:type="dxa"/>
            <w:shd w:val="clear" w:color="auto" w:fill="auto"/>
            <w:vAlign w:val="center"/>
          </w:tcPr>
          <w:p w:rsidR="000F608D" w:rsidRPr="005B6522" w:rsidRDefault="000F608D" w:rsidP="00385FAE">
            <w:pPr>
              <w:ind w:right="-108"/>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Срок действия лицензий</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1</w:t>
            </w:r>
          </w:p>
        </w:tc>
        <w:tc>
          <w:tcPr>
            <w:tcW w:w="2155" w:type="dxa"/>
            <w:shd w:val="clear" w:color="auto" w:fill="auto"/>
            <w:vAlign w:val="center"/>
          </w:tcPr>
          <w:p w:rsidR="000F608D" w:rsidRPr="00E9244A" w:rsidRDefault="000F608D" w:rsidP="00385FAE">
            <w:pPr>
              <w:rPr>
                <w:rFonts w:ascii="Times New Roman" w:hAnsi="Times New Roman" w:cs="Times New Roman"/>
                <w:color w:val="000000"/>
                <w:sz w:val="22"/>
                <w:szCs w:val="22"/>
              </w:rPr>
            </w:pPr>
            <w:r w:rsidRPr="005B6522">
              <w:rPr>
                <w:rFonts w:ascii="Times New Roman" w:hAnsi="Times New Roman" w:cs="Times New Roman"/>
                <w:color w:val="000000"/>
                <w:sz w:val="22"/>
                <w:szCs w:val="22"/>
                <w:lang w:val="ru-RU"/>
              </w:rPr>
              <w:t>Лицензия</w:t>
            </w:r>
            <w:r w:rsidRPr="00E9244A">
              <w:rPr>
                <w:rFonts w:ascii="Times New Roman" w:hAnsi="Times New Roman" w:cs="Times New Roman"/>
                <w:color w:val="000000"/>
                <w:sz w:val="22"/>
                <w:szCs w:val="22"/>
              </w:rPr>
              <w:t xml:space="preserve"> BE6000 Starter Bundle with 35 UCL </w:t>
            </w:r>
            <w:proofErr w:type="spellStart"/>
            <w:r w:rsidRPr="00E9244A">
              <w:rPr>
                <w:rFonts w:ascii="Times New Roman" w:hAnsi="Times New Roman" w:cs="Times New Roman"/>
                <w:color w:val="000000"/>
                <w:sz w:val="22"/>
                <w:szCs w:val="22"/>
              </w:rPr>
              <w:t>Enh</w:t>
            </w:r>
            <w:proofErr w:type="spellEnd"/>
            <w:r w:rsidRPr="00E9244A">
              <w:rPr>
                <w:rFonts w:ascii="Times New Roman" w:hAnsi="Times New Roman" w:cs="Times New Roman"/>
                <w:color w:val="000000"/>
                <w:sz w:val="22"/>
                <w:szCs w:val="22"/>
              </w:rPr>
              <w:t xml:space="preserve"> and 35 vmail Licenses</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BE6K-START-UCL35</w:t>
            </w:r>
          </w:p>
        </w:tc>
        <w:tc>
          <w:tcPr>
            <w:tcW w:w="70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1</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бессрочная</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2</w:t>
            </w:r>
          </w:p>
        </w:tc>
        <w:tc>
          <w:tcPr>
            <w:tcW w:w="2155" w:type="dxa"/>
            <w:shd w:val="clear" w:color="auto" w:fill="auto"/>
            <w:vAlign w:val="center"/>
          </w:tcPr>
          <w:p w:rsidR="000F608D" w:rsidRPr="00E9244A" w:rsidRDefault="000F608D" w:rsidP="00385FAE">
            <w:pPr>
              <w:rPr>
                <w:rFonts w:ascii="Times New Roman" w:hAnsi="Times New Roman" w:cs="Times New Roman"/>
                <w:color w:val="000000"/>
                <w:sz w:val="22"/>
                <w:szCs w:val="22"/>
              </w:rPr>
            </w:pPr>
            <w:r w:rsidRPr="005B6522">
              <w:rPr>
                <w:rFonts w:ascii="Times New Roman" w:hAnsi="Times New Roman" w:cs="Times New Roman"/>
                <w:color w:val="000000"/>
                <w:sz w:val="22"/>
                <w:szCs w:val="22"/>
                <w:lang w:val="ru-RU"/>
              </w:rPr>
              <w:t>Лицензия</w:t>
            </w:r>
            <w:r w:rsidRPr="00E9244A">
              <w:rPr>
                <w:rFonts w:ascii="Times New Roman" w:hAnsi="Times New Roman" w:cs="Times New Roman"/>
                <w:color w:val="000000"/>
                <w:sz w:val="22"/>
                <w:szCs w:val="22"/>
              </w:rPr>
              <w:t xml:space="preserve"> Cisco Business Edition 6000 - Essential User Connect License</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BE6K-UCL-ESS</w:t>
            </w:r>
          </w:p>
        </w:tc>
        <w:tc>
          <w:tcPr>
            <w:tcW w:w="708"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48</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бессрочная</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3</w:t>
            </w:r>
          </w:p>
        </w:tc>
        <w:tc>
          <w:tcPr>
            <w:tcW w:w="2155" w:type="dxa"/>
            <w:shd w:val="clear" w:color="auto" w:fill="auto"/>
            <w:vAlign w:val="center"/>
          </w:tcPr>
          <w:p w:rsidR="000F608D" w:rsidRPr="00E9244A" w:rsidRDefault="000F608D" w:rsidP="00385FAE">
            <w:pPr>
              <w:rPr>
                <w:rFonts w:ascii="Times New Roman" w:hAnsi="Times New Roman" w:cs="Times New Roman"/>
                <w:color w:val="000000"/>
                <w:sz w:val="22"/>
                <w:szCs w:val="22"/>
              </w:rPr>
            </w:pPr>
            <w:r w:rsidRPr="005B6522">
              <w:rPr>
                <w:rFonts w:ascii="Times New Roman" w:hAnsi="Times New Roman" w:cs="Times New Roman"/>
                <w:color w:val="000000"/>
                <w:sz w:val="22"/>
                <w:szCs w:val="22"/>
                <w:lang w:val="ru-RU"/>
              </w:rPr>
              <w:t>Лицензия</w:t>
            </w:r>
            <w:r w:rsidRPr="00E9244A">
              <w:rPr>
                <w:rFonts w:ascii="Times New Roman" w:hAnsi="Times New Roman" w:cs="Times New Roman"/>
                <w:color w:val="000000"/>
                <w:sz w:val="22"/>
                <w:szCs w:val="22"/>
              </w:rPr>
              <w:t xml:space="preserve"> Cisco Business Edition 6000 - Basic User Connect License</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BE6K-UCL-BAS</w:t>
            </w:r>
          </w:p>
        </w:tc>
        <w:tc>
          <w:tcPr>
            <w:tcW w:w="708"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337</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бессрочная</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4</w:t>
            </w:r>
          </w:p>
        </w:tc>
        <w:tc>
          <w:tcPr>
            <w:tcW w:w="2155" w:type="dxa"/>
            <w:shd w:val="clear" w:color="auto" w:fill="auto"/>
            <w:vAlign w:val="center"/>
          </w:tcPr>
          <w:p w:rsidR="000F608D" w:rsidRPr="00225A44" w:rsidRDefault="000F608D" w:rsidP="00385FAE">
            <w:pPr>
              <w:rPr>
                <w:rFonts w:ascii="Times New Roman" w:hAnsi="Times New Roman" w:cs="Times New Roman"/>
                <w:color w:val="000000"/>
                <w:sz w:val="22"/>
                <w:szCs w:val="22"/>
              </w:rPr>
            </w:pPr>
            <w:r w:rsidRPr="00225A44">
              <w:rPr>
                <w:rFonts w:ascii="Times New Roman" w:hAnsi="Times New Roman" w:cs="Times New Roman"/>
                <w:color w:val="000000"/>
                <w:sz w:val="22"/>
                <w:szCs w:val="22"/>
                <w:lang w:val="ru-RU"/>
              </w:rPr>
              <w:t>Лицензия</w:t>
            </w:r>
            <w:r w:rsidRPr="00225A44">
              <w:rPr>
                <w:rFonts w:ascii="Times New Roman" w:hAnsi="Times New Roman" w:cs="Times New Roman"/>
                <w:color w:val="000000"/>
                <w:sz w:val="22"/>
                <w:szCs w:val="22"/>
              </w:rPr>
              <w:t xml:space="preserve"> CCX 12 Enhanced 5 seat Promo Bundle/CCX-12-5E</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CCX-1</w:t>
            </w:r>
            <w:r>
              <w:rPr>
                <w:rFonts w:ascii="Times New Roman" w:hAnsi="Times New Roman" w:cs="Times New Roman"/>
                <w:color w:val="000000"/>
                <w:sz w:val="22"/>
                <w:szCs w:val="22"/>
                <w:lang w:val="ru-RU"/>
              </w:rPr>
              <w:t>2</w:t>
            </w:r>
            <w:r w:rsidRPr="005B6522">
              <w:rPr>
                <w:rFonts w:ascii="Times New Roman" w:hAnsi="Times New Roman" w:cs="Times New Roman"/>
                <w:color w:val="000000"/>
                <w:sz w:val="22"/>
                <w:szCs w:val="22"/>
                <w:lang w:val="ru-RU"/>
              </w:rPr>
              <w:t>-5E</w:t>
            </w:r>
          </w:p>
        </w:tc>
        <w:tc>
          <w:tcPr>
            <w:tcW w:w="708"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1</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бессрочная</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5</w:t>
            </w:r>
          </w:p>
        </w:tc>
        <w:tc>
          <w:tcPr>
            <w:tcW w:w="2155" w:type="dxa"/>
            <w:shd w:val="clear" w:color="auto" w:fill="auto"/>
            <w:vAlign w:val="center"/>
          </w:tcPr>
          <w:p w:rsidR="000F608D" w:rsidRPr="005B6522" w:rsidRDefault="000F608D" w:rsidP="00385FAE">
            <w:pP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Серверная лицензия на модуль "Запись" для 50 IP-телефонов</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AURUS-PHONEUP-REC-50</w:t>
            </w:r>
          </w:p>
        </w:tc>
        <w:tc>
          <w:tcPr>
            <w:tcW w:w="708"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1</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бессрочная</w:t>
            </w:r>
          </w:p>
        </w:tc>
      </w:tr>
      <w:tr w:rsidR="000F608D" w:rsidRPr="005B6522" w:rsidTr="00385FAE">
        <w:tc>
          <w:tcPr>
            <w:tcW w:w="426" w:type="dxa"/>
            <w:shd w:val="clear" w:color="auto" w:fill="auto"/>
          </w:tcPr>
          <w:p w:rsidR="000F608D" w:rsidRPr="005B6522" w:rsidRDefault="000F608D" w:rsidP="00385FAE">
            <w:pPr>
              <w:keepNext/>
              <w:spacing w:before="40" w:after="40"/>
              <w:ind w:left="-52" w:right="-60"/>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6</w:t>
            </w:r>
          </w:p>
        </w:tc>
        <w:tc>
          <w:tcPr>
            <w:tcW w:w="2155" w:type="dxa"/>
            <w:shd w:val="clear" w:color="auto" w:fill="auto"/>
            <w:vAlign w:val="center"/>
          </w:tcPr>
          <w:p w:rsidR="000F608D" w:rsidRPr="005B6522" w:rsidRDefault="000F608D" w:rsidP="00385FAE">
            <w:pP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 xml:space="preserve">Серверная лицензия на обновления модуля "Запись" для 50 IP-телефонов в течение 1 года </w:t>
            </w:r>
          </w:p>
        </w:tc>
        <w:tc>
          <w:tcPr>
            <w:tcW w:w="1673"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AURUS-PHONEUP-REC-50-SUP</w:t>
            </w:r>
          </w:p>
        </w:tc>
        <w:tc>
          <w:tcPr>
            <w:tcW w:w="708" w:type="dxa"/>
            <w:shd w:val="clear" w:color="auto" w:fill="auto"/>
          </w:tcPr>
          <w:p w:rsidR="000F608D" w:rsidRPr="005B6522" w:rsidRDefault="000F608D" w:rsidP="00385FAE">
            <w:pPr>
              <w:jc w:val="center"/>
              <w:rPr>
                <w:rFonts w:ascii="Times New Roman" w:hAnsi="Times New Roman" w:cs="Times New Roman"/>
                <w:color w:val="000000"/>
                <w:sz w:val="22"/>
                <w:szCs w:val="22"/>
                <w:lang w:val="ru-RU"/>
              </w:rPr>
            </w:pPr>
            <w:proofErr w:type="spellStart"/>
            <w:r w:rsidRPr="005B6522">
              <w:rPr>
                <w:rFonts w:ascii="Times New Roman" w:hAnsi="Times New Roman" w:cs="Times New Roman"/>
                <w:color w:val="000000"/>
                <w:sz w:val="22"/>
                <w:szCs w:val="22"/>
                <w:lang w:val="ru-RU"/>
              </w:rPr>
              <w:t>шт</w:t>
            </w:r>
            <w:proofErr w:type="spellEnd"/>
          </w:p>
        </w:tc>
        <w:tc>
          <w:tcPr>
            <w:tcW w:w="596"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r w:rsidRPr="005B6522">
              <w:rPr>
                <w:rFonts w:ascii="Times New Roman" w:hAnsi="Times New Roman" w:cs="Times New Roman"/>
                <w:color w:val="000000"/>
                <w:sz w:val="22"/>
                <w:szCs w:val="22"/>
                <w:lang w:val="ru-RU"/>
              </w:rPr>
              <w:t>1</w:t>
            </w:r>
          </w:p>
        </w:tc>
        <w:tc>
          <w:tcPr>
            <w:tcW w:w="1418"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417" w:type="dxa"/>
            <w:shd w:val="clear" w:color="auto" w:fill="auto"/>
            <w:vAlign w:val="center"/>
          </w:tcPr>
          <w:p w:rsidR="000F608D" w:rsidRPr="005B6522" w:rsidRDefault="000F608D" w:rsidP="00385FAE">
            <w:pPr>
              <w:jc w:val="center"/>
              <w:rPr>
                <w:rFonts w:ascii="Times New Roman" w:hAnsi="Times New Roman" w:cs="Times New Roman"/>
                <w:color w:val="000000"/>
                <w:sz w:val="22"/>
                <w:szCs w:val="22"/>
                <w:lang w:val="ru-RU"/>
              </w:rPr>
            </w:pPr>
          </w:p>
        </w:tc>
        <w:tc>
          <w:tcPr>
            <w:tcW w:w="1701" w:type="dxa"/>
            <w:shd w:val="clear" w:color="auto" w:fill="auto"/>
            <w:vAlign w:val="center"/>
          </w:tcPr>
          <w:p w:rsidR="000F608D" w:rsidRPr="005B6522" w:rsidRDefault="004C6FC2" w:rsidP="00385FAE">
            <w:pPr>
              <w:jc w:val="center"/>
              <w:rPr>
                <w:rFonts w:ascii="Times New Roman" w:hAnsi="Times New Roman" w:cs="Times New Roman"/>
                <w:color w:val="000000"/>
                <w:sz w:val="22"/>
                <w:szCs w:val="22"/>
                <w:lang w:val="ru-RU"/>
              </w:rPr>
            </w:pPr>
            <w:r>
              <w:rPr>
                <w:rFonts w:ascii="Times New Roman" w:hAnsi="Times New Roman" w:cs="Times New Roman"/>
                <w:color w:val="000000"/>
                <w:sz w:val="22"/>
                <w:szCs w:val="22"/>
                <w:lang w:val="ru-RU"/>
              </w:rPr>
              <w:t>1 го</w:t>
            </w:r>
            <w:bookmarkStart w:id="0" w:name="_GoBack"/>
            <w:bookmarkEnd w:id="0"/>
            <w:r>
              <w:rPr>
                <w:rFonts w:ascii="Times New Roman" w:hAnsi="Times New Roman" w:cs="Times New Roman"/>
                <w:color w:val="000000"/>
                <w:sz w:val="22"/>
                <w:szCs w:val="22"/>
                <w:lang w:val="ru-RU"/>
              </w:rPr>
              <w:t>д</w:t>
            </w:r>
          </w:p>
        </w:tc>
      </w:tr>
    </w:tbl>
    <w:p w:rsidR="000F608D" w:rsidRPr="005B6522" w:rsidRDefault="000F608D" w:rsidP="000F608D">
      <w:pP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Итого: __________________ (_______________) рублей ____ копеек.</w:t>
      </w:r>
    </w:p>
    <w:p w:rsidR="000F608D" w:rsidRPr="005B6522" w:rsidRDefault="000F608D" w:rsidP="000F608D">
      <w:pPr>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НДС не облагается на основании подпункта 26 пункта 2 ст. 149 НК РФ.</w:t>
      </w:r>
    </w:p>
    <w:tbl>
      <w:tblPr>
        <w:tblpPr w:leftFromText="180" w:rightFromText="180" w:vertAnchor="text" w:horzAnchor="margin" w:tblpXSpec="center" w:tblpY="117"/>
        <w:tblOverlap w:val="never"/>
        <w:tblW w:w="8926" w:type="dxa"/>
        <w:tblLayout w:type="fixed"/>
        <w:tblLook w:val="04A0" w:firstRow="1" w:lastRow="0" w:firstColumn="1" w:lastColumn="0" w:noHBand="0" w:noVBand="1"/>
      </w:tblPr>
      <w:tblGrid>
        <w:gridCol w:w="4957"/>
        <w:gridCol w:w="3969"/>
      </w:tblGrid>
      <w:tr w:rsidR="000F608D" w:rsidRPr="005B6522" w:rsidTr="00385FAE">
        <w:tc>
          <w:tcPr>
            <w:tcW w:w="4957"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Сублицензиат:</w:t>
            </w:r>
          </w:p>
          <w:p w:rsidR="000F608D" w:rsidRPr="005B6522" w:rsidRDefault="000F608D" w:rsidP="00385FAE">
            <w:pPr>
              <w:jc w:val="both"/>
              <w:rPr>
                <w:rFonts w:ascii="Times New Roman" w:hAnsi="Times New Roman" w:cs="Times New Roman"/>
                <w:color w:val="000000"/>
                <w:sz w:val="26"/>
                <w:szCs w:val="26"/>
                <w:lang w:val="ru-RU"/>
              </w:rPr>
            </w:pPr>
          </w:p>
        </w:tc>
        <w:tc>
          <w:tcPr>
            <w:tcW w:w="3969"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Лицензиат:</w:t>
            </w:r>
          </w:p>
          <w:p w:rsidR="000F608D" w:rsidRPr="005B6522" w:rsidRDefault="000F608D" w:rsidP="00385FAE">
            <w:pPr>
              <w:keepNext/>
              <w:spacing w:line="240" w:lineRule="atLeast"/>
              <w:rPr>
                <w:rFonts w:ascii="Times New Roman" w:hAnsi="Times New Roman" w:cs="Times New Roman"/>
                <w:color w:val="000000"/>
                <w:sz w:val="26"/>
                <w:szCs w:val="26"/>
                <w:lang w:val="ru-RU"/>
              </w:rPr>
            </w:pPr>
          </w:p>
        </w:tc>
      </w:tr>
      <w:tr w:rsidR="000F608D" w:rsidRPr="005B6522" w:rsidTr="00385FAE">
        <w:tc>
          <w:tcPr>
            <w:tcW w:w="4957"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_____________/ _______________ /</w:t>
            </w:r>
          </w:p>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М.П.</w:t>
            </w:r>
          </w:p>
          <w:p w:rsidR="000F608D" w:rsidRPr="005B6522" w:rsidRDefault="000F608D" w:rsidP="00385FAE">
            <w:pPr>
              <w:keepNext/>
              <w:spacing w:line="240" w:lineRule="atLeast"/>
              <w:rPr>
                <w:rFonts w:ascii="Times New Roman" w:hAnsi="Times New Roman" w:cs="Times New Roman"/>
                <w:color w:val="000000"/>
                <w:sz w:val="26"/>
                <w:szCs w:val="26"/>
                <w:lang w:val="ru-RU"/>
              </w:rPr>
            </w:pPr>
          </w:p>
          <w:p w:rsidR="000F608D" w:rsidRPr="005B6522" w:rsidRDefault="000F608D" w:rsidP="00385FAE">
            <w:pPr>
              <w:keepNext/>
              <w:spacing w:line="240" w:lineRule="atLeast"/>
              <w:rPr>
                <w:rFonts w:ascii="Times New Roman" w:hAnsi="Times New Roman" w:cs="Times New Roman"/>
                <w:color w:val="000000"/>
                <w:sz w:val="26"/>
                <w:szCs w:val="26"/>
                <w:lang w:val="ru-RU"/>
              </w:rPr>
            </w:pPr>
          </w:p>
        </w:tc>
        <w:tc>
          <w:tcPr>
            <w:tcW w:w="3969" w:type="dxa"/>
          </w:tcPr>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_____________/_______________/</w:t>
            </w:r>
          </w:p>
          <w:p w:rsidR="000F608D" w:rsidRPr="005B6522" w:rsidRDefault="000F608D" w:rsidP="00385FAE">
            <w:pPr>
              <w:keepNext/>
              <w:spacing w:line="240" w:lineRule="atLeast"/>
              <w:rPr>
                <w:rFonts w:ascii="Times New Roman" w:hAnsi="Times New Roman" w:cs="Times New Roman"/>
                <w:color w:val="000000"/>
                <w:sz w:val="26"/>
                <w:szCs w:val="26"/>
                <w:lang w:val="ru-RU"/>
              </w:rPr>
            </w:pPr>
            <w:r w:rsidRPr="005B6522">
              <w:rPr>
                <w:rFonts w:ascii="Times New Roman" w:hAnsi="Times New Roman" w:cs="Times New Roman"/>
                <w:color w:val="000000"/>
                <w:sz w:val="26"/>
                <w:szCs w:val="26"/>
                <w:lang w:val="ru-RU"/>
              </w:rPr>
              <w:t>М.П.</w:t>
            </w:r>
          </w:p>
        </w:tc>
      </w:tr>
    </w:tbl>
    <w:p w:rsidR="000F608D" w:rsidRPr="005B6522" w:rsidRDefault="000F608D" w:rsidP="000F608D">
      <w:pPr>
        <w:jc w:val="center"/>
        <w:rPr>
          <w:rFonts w:ascii="Times New Roman" w:hAnsi="Times New Roman" w:cs="Times New Roman"/>
          <w:color w:val="000000"/>
          <w:sz w:val="26"/>
          <w:szCs w:val="26"/>
          <w:lang w:val="ru-RU"/>
        </w:rPr>
      </w:pPr>
    </w:p>
    <w:p w:rsidR="00264497" w:rsidRPr="000F608D" w:rsidRDefault="00264497" w:rsidP="000F608D"/>
    <w:sectPr w:rsidR="00264497" w:rsidRPr="000F608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A85" w:rsidRDefault="00932A85" w:rsidP="009E5619">
      <w:r>
        <w:separator/>
      </w:r>
    </w:p>
  </w:endnote>
  <w:endnote w:type="continuationSeparator" w:id="0">
    <w:p w:rsidR="00932A85" w:rsidRDefault="00932A85" w:rsidP="009E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A85" w:rsidRDefault="00932A85" w:rsidP="009E5619">
      <w:r>
        <w:separator/>
      </w:r>
    </w:p>
  </w:footnote>
  <w:footnote w:type="continuationSeparator" w:id="0">
    <w:p w:rsidR="00932A85" w:rsidRDefault="00932A85" w:rsidP="009E5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619" w:rsidRDefault="009E56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169D1"/>
    <w:multiLevelType w:val="multilevel"/>
    <w:tmpl w:val="E27A1F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6605FCE"/>
    <w:multiLevelType w:val="multilevel"/>
    <w:tmpl w:val="50F431C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2E38598C"/>
    <w:multiLevelType w:val="multilevel"/>
    <w:tmpl w:val="836C421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0875AB5"/>
    <w:multiLevelType w:val="multilevel"/>
    <w:tmpl w:val="A16AD4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65F159A"/>
    <w:multiLevelType w:val="multilevel"/>
    <w:tmpl w:val="836C421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51C0CE7"/>
    <w:multiLevelType w:val="multilevel"/>
    <w:tmpl w:val="44EA33A4"/>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66"/>
    <w:rsid w:val="000F608D"/>
    <w:rsid w:val="00264497"/>
    <w:rsid w:val="004C6FC2"/>
    <w:rsid w:val="00932A85"/>
    <w:rsid w:val="009E5619"/>
    <w:rsid w:val="00D02466"/>
    <w:rsid w:val="00E31FB0"/>
    <w:rsid w:val="00E55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466"/>
    <w:pPr>
      <w:suppressAutoHyphens/>
      <w:spacing w:after="0" w:line="240" w:lineRule="auto"/>
    </w:pPr>
    <w:rPr>
      <w:rFonts w:ascii="Cambria" w:eastAsia="MS Mincho" w:hAnsi="Cambria" w:cs="Cambria"/>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619"/>
    <w:pPr>
      <w:tabs>
        <w:tab w:val="center" w:pos="4677"/>
        <w:tab w:val="right" w:pos="9355"/>
      </w:tabs>
    </w:pPr>
  </w:style>
  <w:style w:type="character" w:customStyle="1" w:styleId="a4">
    <w:name w:val="Верхний колонтитул Знак"/>
    <w:basedOn w:val="a0"/>
    <w:link w:val="a3"/>
    <w:uiPriority w:val="99"/>
    <w:rsid w:val="009E5619"/>
    <w:rPr>
      <w:rFonts w:ascii="Cambria" w:eastAsia="MS Mincho" w:hAnsi="Cambria" w:cs="Cambria"/>
      <w:sz w:val="24"/>
      <w:szCs w:val="24"/>
      <w:lang w:val="en-US" w:eastAsia="ar-SA"/>
    </w:rPr>
  </w:style>
  <w:style w:type="paragraph" w:styleId="a5">
    <w:name w:val="footer"/>
    <w:basedOn w:val="a"/>
    <w:link w:val="a6"/>
    <w:uiPriority w:val="99"/>
    <w:unhideWhenUsed/>
    <w:rsid w:val="009E5619"/>
    <w:pPr>
      <w:tabs>
        <w:tab w:val="center" w:pos="4677"/>
        <w:tab w:val="right" w:pos="9355"/>
      </w:tabs>
    </w:pPr>
  </w:style>
  <w:style w:type="character" w:customStyle="1" w:styleId="a6">
    <w:name w:val="Нижний колонтитул Знак"/>
    <w:basedOn w:val="a0"/>
    <w:link w:val="a5"/>
    <w:uiPriority w:val="99"/>
    <w:rsid w:val="009E5619"/>
    <w:rPr>
      <w:rFonts w:ascii="Cambria" w:eastAsia="MS Mincho" w:hAnsi="Cambria" w:cs="Cambria"/>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466"/>
    <w:pPr>
      <w:suppressAutoHyphens/>
      <w:spacing w:after="0" w:line="240" w:lineRule="auto"/>
    </w:pPr>
    <w:rPr>
      <w:rFonts w:ascii="Cambria" w:eastAsia="MS Mincho" w:hAnsi="Cambria" w:cs="Cambria"/>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619"/>
    <w:pPr>
      <w:tabs>
        <w:tab w:val="center" w:pos="4677"/>
        <w:tab w:val="right" w:pos="9355"/>
      </w:tabs>
    </w:pPr>
  </w:style>
  <w:style w:type="character" w:customStyle="1" w:styleId="a4">
    <w:name w:val="Верхний колонтитул Знак"/>
    <w:basedOn w:val="a0"/>
    <w:link w:val="a3"/>
    <w:uiPriority w:val="99"/>
    <w:rsid w:val="009E5619"/>
    <w:rPr>
      <w:rFonts w:ascii="Cambria" w:eastAsia="MS Mincho" w:hAnsi="Cambria" w:cs="Cambria"/>
      <w:sz w:val="24"/>
      <w:szCs w:val="24"/>
      <w:lang w:val="en-US" w:eastAsia="ar-SA"/>
    </w:rPr>
  </w:style>
  <w:style w:type="paragraph" w:styleId="a5">
    <w:name w:val="footer"/>
    <w:basedOn w:val="a"/>
    <w:link w:val="a6"/>
    <w:uiPriority w:val="99"/>
    <w:unhideWhenUsed/>
    <w:rsid w:val="009E5619"/>
    <w:pPr>
      <w:tabs>
        <w:tab w:val="center" w:pos="4677"/>
        <w:tab w:val="right" w:pos="9355"/>
      </w:tabs>
    </w:pPr>
  </w:style>
  <w:style w:type="character" w:customStyle="1" w:styleId="a6">
    <w:name w:val="Нижний колонтитул Знак"/>
    <w:basedOn w:val="a0"/>
    <w:link w:val="a5"/>
    <w:uiPriority w:val="99"/>
    <w:rsid w:val="009E5619"/>
    <w:rPr>
      <w:rFonts w:ascii="Cambria" w:eastAsia="MS Mincho" w:hAnsi="Cambria" w:cs="Cambria"/>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1208</Words>
  <Characters>6889</Characters>
  <Application>Microsoft Office Word</Application>
  <DocSecurity>0</DocSecurity>
  <Lines>57</Lines>
  <Paragraphs>16</Paragraphs>
  <ScaleCrop>false</ScaleCrop>
  <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2019-07-09T18:47:00Z</dcterms:created>
  <dcterms:modified xsi:type="dcterms:W3CDTF">2019-07-19T07:17:00Z</dcterms:modified>
</cp:coreProperties>
</file>